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206375</wp:posOffset>
            </wp:positionH>
            <wp:positionV relativeFrom="page">
              <wp:posOffset>288290</wp:posOffset>
            </wp:positionV>
            <wp:extent cx="7136765"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765" cy="33020"/>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387350</wp:posOffset>
            </wp:positionV>
            <wp:extent cx="71367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765" cy="8255"/>
                    </a:xfrm>
                    <a:prstGeom prst="rect">
                      <a:avLst/>
                    </a:prstGeom>
                    <a:noFill/>
                  </pic:spPr>
                </pic:pic>
              </a:graphicData>
            </a:graphic>
          </wp:anchor>
        </w:drawing>
        <w:t>UNITED STATES</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169"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(Mark one)</w:t>
      </w:r>
    </w:p>
    <w:p>
      <w:pPr>
        <w:spacing w:after="0" w:line="249" w:lineRule="exact"/>
        <w:rPr>
          <w:sz w:val="24"/>
          <w:szCs w:val="24"/>
          <w:color w:val="auto"/>
        </w:rPr>
      </w:pPr>
    </w:p>
    <w:p>
      <w:pPr>
        <w:ind w:left="320" w:hanging="315"/>
        <w:spacing w:after="0"/>
        <w:tabs>
          <w:tab w:leader="none" w:pos="3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March 31, 2020</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239" w:lineRule="exact"/>
        <w:rPr>
          <w:sz w:val="24"/>
          <w:szCs w:val="24"/>
          <w:color w:val="auto"/>
        </w:rPr>
      </w:pPr>
    </w:p>
    <w:p>
      <w:pPr>
        <w:ind w:left="3640" w:right="2280" w:hanging="3635"/>
        <w:spacing w:after="0" w:line="513" w:lineRule="auto"/>
        <w:tabs>
          <w:tab w:leader="none" w:pos="31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 For the transition period from _________to _________</w:t>
      </w:r>
    </w:p>
    <w:p>
      <w:pPr>
        <w:ind w:left="4440"/>
        <w:spacing w:after="0"/>
        <w:rPr>
          <w:rFonts w:ascii="MS PGothic" w:cs="MS PGothic" w:eastAsia="MS PGothic" w:hAnsi="MS PGothic"/>
          <w:sz w:val="17"/>
          <w:szCs w:val="17"/>
          <w:color w:val="auto"/>
        </w:rPr>
      </w:pPr>
      <w:r>
        <w:rPr>
          <w:rFonts w:ascii="Arial" w:cs="Arial" w:eastAsia="Arial" w:hAnsi="Arial"/>
          <w:sz w:val="17"/>
          <w:szCs w:val="17"/>
          <w:b w:val="1"/>
          <w:bCs w:val="1"/>
          <w:color w:val="auto"/>
        </w:rPr>
        <w:t>Commission File Number 0-1665</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KINGSTONE COMPANIES,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(Exact name of registrant as specified in its charter)</w:t>
      </w:r>
    </w:p>
    <w:p>
      <w:pPr>
        <w:sectPr>
          <w:pgSz w:w="11900" w:h="16838" w:orient="portrait"/>
          <w:cols w:equalWidth="0" w:num="1">
            <w:col w:w="11240"/>
          </w:cols>
          <w:pgMar w:left="320" w:top="674" w:right="339" w:bottom="1440" w:gutter="0" w:footer="0" w:header="0"/>
        </w:sectPr>
      </w:pPr>
    </w:p>
    <w:p>
      <w:pPr>
        <w:spacing w:after="0" w:line="205" w:lineRule="exact"/>
        <w:rPr>
          <w:sz w:val="24"/>
          <w:szCs w:val="24"/>
          <w:color w:val="auto"/>
        </w:rPr>
      </w:pPr>
    </w:p>
    <w:p>
      <w:pPr>
        <w:jc w:val="center"/>
        <w:ind w:right="1060"/>
        <w:spacing w:after="0"/>
        <w:rPr>
          <w:sz w:val="20"/>
          <w:szCs w:val="20"/>
          <w:color w:val="auto"/>
        </w:rPr>
      </w:pPr>
      <w:r>
        <w:rPr>
          <w:rFonts w:ascii="Arial" w:cs="Arial" w:eastAsia="Arial" w:hAnsi="Arial"/>
          <w:sz w:val="17"/>
          <w:szCs w:val="17"/>
          <w:b w:val="1"/>
          <w:bCs w:val="1"/>
          <w:color w:val="auto"/>
        </w:rPr>
        <w:t>Delaware</w:t>
      </w:r>
    </w:p>
    <w:p>
      <w:pPr>
        <w:spacing w:after="0" w:line="24" w:lineRule="exact"/>
        <w:rPr>
          <w:sz w:val="24"/>
          <w:szCs w:val="24"/>
          <w:color w:val="auto"/>
        </w:rPr>
      </w:pPr>
    </w:p>
    <w:p>
      <w:pPr>
        <w:jc w:val="center"/>
        <w:ind w:right="1060"/>
        <w:spacing w:after="0"/>
        <w:rPr>
          <w:sz w:val="20"/>
          <w:szCs w:val="20"/>
          <w:color w:val="auto"/>
        </w:rPr>
      </w:pPr>
      <w:r>
        <w:rPr>
          <w:rFonts w:ascii="Arial" w:cs="Arial" w:eastAsia="Arial" w:hAnsi="Arial"/>
          <w:sz w:val="15"/>
          <w:szCs w:val="15"/>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220"/>
        <w:spacing w:after="0"/>
        <w:rPr>
          <w:sz w:val="20"/>
          <w:szCs w:val="20"/>
          <w:color w:val="auto"/>
        </w:rPr>
      </w:pPr>
      <w:r>
        <w:rPr>
          <w:rFonts w:ascii="Arial" w:cs="Arial" w:eastAsia="Arial" w:hAnsi="Arial"/>
          <w:sz w:val="17"/>
          <w:szCs w:val="17"/>
          <w:b w:val="1"/>
          <w:bCs w:val="1"/>
          <w:color w:val="auto"/>
        </w:rPr>
        <w:t>36-2476480</w:t>
      </w:r>
    </w:p>
    <w:p>
      <w:pPr>
        <w:spacing w:after="0" w:line="24" w:lineRule="exact"/>
        <w:rPr>
          <w:sz w:val="24"/>
          <w:szCs w:val="24"/>
          <w:color w:val="auto"/>
        </w:rPr>
      </w:pPr>
    </w:p>
    <w:p>
      <w:pPr>
        <w:jc w:val="center"/>
        <w:ind w:right="1220"/>
        <w:spacing w:after="0"/>
        <w:rPr>
          <w:sz w:val="20"/>
          <w:szCs w:val="20"/>
          <w:color w:val="auto"/>
        </w:rPr>
      </w:pPr>
      <w:r>
        <w:rPr>
          <w:rFonts w:ascii="Arial" w:cs="Arial" w:eastAsia="Arial" w:hAnsi="Arial"/>
          <w:sz w:val="15"/>
          <w:szCs w:val="15"/>
          <w:b w:val="1"/>
          <w:bCs w:val="1"/>
          <w:color w:val="auto"/>
        </w:rPr>
        <w:t>(I.R.S. Employer Identification Number)</w:t>
      </w:r>
    </w:p>
    <w:p>
      <w:pPr>
        <w:spacing w:after="0" w:line="200" w:lineRule="exact"/>
        <w:rPr>
          <w:sz w:val="24"/>
          <w:szCs w:val="24"/>
          <w:color w:val="auto"/>
        </w:rPr>
      </w:pPr>
    </w:p>
    <w:p>
      <w:pPr>
        <w:sectPr>
          <w:pgSz w:w="11900" w:h="16838" w:orient="portrait"/>
          <w:cols w:equalWidth="0" w:num="2">
            <w:col w:w="6360" w:space="720"/>
            <w:col w:w="4160"/>
          </w:cols>
          <w:pgMar w:left="320" w:top="674" w:right="339" w:bottom="1440" w:gutter="0" w:footer="0" w:header="0"/>
          <w:type w:val="continuous"/>
        </w:sectPr>
      </w:pPr>
    </w:p>
    <w:p>
      <w:pPr>
        <w:spacing w:after="0" w:line="3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15 Joys Lane</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Kingston, NY 12401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(Address of principal executive offices)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(845) 802-7900</w:t>
      </w:r>
    </w:p>
    <w:p>
      <w:pPr>
        <w:spacing w:after="0" w:line="147" w:lineRule="exact"/>
        <w:rPr>
          <w:sz w:val="24"/>
          <w:szCs w:val="24"/>
          <w:color w:val="auto"/>
        </w:rPr>
      </w:pPr>
    </w:p>
    <w:p>
      <w:pPr>
        <w:ind w:left="3700"/>
        <w:spacing w:after="0"/>
        <w:rPr>
          <w:sz w:val="20"/>
          <w:szCs w:val="20"/>
          <w:color w:val="auto"/>
        </w:rPr>
      </w:pPr>
      <w:r>
        <w:rPr>
          <w:rFonts w:ascii="Arial" w:cs="Arial" w:eastAsia="Arial" w:hAnsi="Arial"/>
          <w:sz w:val="17"/>
          <w:szCs w:val="17"/>
          <w:b w:val="1"/>
          <w:bCs w:val="1"/>
          <w:color w:val="auto"/>
        </w:rPr>
        <w:t>(Registrant’s telephone number, including area code)</w:t>
      </w:r>
    </w:p>
    <w:p>
      <w:pPr>
        <w:spacing w:after="0" w:line="161"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920" w:type="dxa"/>
            <w:vAlign w:val="bottom"/>
            <w:tcBorders>
              <w:top w:val="single" w:sz="8" w:color="auto"/>
              <w:bottom w:val="single" w:sz="8" w:color="auto"/>
            </w:tcBorders>
          </w:tcPr>
          <w:p>
            <w:pPr>
              <w:ind w:left="1260"/>
              <w:spacing w:after="0"/>
              <w:rPr>
                <w:sz w:val="20"/>
                <w:szCs w:val="20"/>
                <w:color w:val="auto"/>
              </w:rPr>
            </w:pPr>
            <w:r>
              <w:rPr>
                <w:rFonts w:ascii="Arial" w:cs="Arial" w:eastAsia="Arial" w:hAnsi="Arial"/>
                <w:sz w:val="17"/>
                <w:szCs w:val="17"/>
                <w:color w:val="auto"/>
              </w:rPr>
              <w:t>Title of each class</w:t>
            </w:r>
          </w:p>
        </w:tc>
        <w:tc>
          <w:tcPr>
            <w:tcW w:w="3140" w:type="dxa"/>
            <w:vAlign w:val="bottom"/>
            <w:tcBorders>
              <w:top w:val="single" w:sz="8" w:color="auto"/>
              <w:bottom w:val="single" w:sz="8" w:color="auto"/>
            </w:tcBorders>
          </w:tcPr>
          <w:p>
            <w:pPr>
              <w:jc w:val="center"/>
              <w:ind w:left="175"/>
              <w:spacing w:after="0"/>
              <w:rPr>
                <w:sz w:val="20"/>
                <w:szCs w:val="20"/>
                <w:color w:val="auto"/>
              </w:rPr>
            </w:pPr>
            <w:r>
              <w:rPr>
                <w:rFonts w:ascii="Arial" w:cs="Arial" w:eastAsia="Arial" w:hAnsi="Arial"/>
                <w:sz w:val="17"/>
                <w:szCs w:val="17"/>
                <w:color w:val="auto"/>
                <w:w w:val="92"/>
              </w:rPr>
              <w:t>Trading Symbol(s)</w:t>
            </w:r>
          </w:p>
        </w:tc>
        <w:tc>
          <w:tcPr>
            <w:tcW w:w="4180" w:type="dxa"/>
            <w:vAlign w:val="bottom"/>
            <w:tcBorders>
              <w:top w:val="single" w:sz="8" w:color="auto"/>
              <w:bottom w:val="single" w:sz="8" w:color="auto"/>
            </w:tcBorders>
          </w:tcPr>
          <w:p>
            <w:pPr>
              <w:jc w:val="center"/>
              <w:ind w:left="355"/>
              <w:spacing w:after="0"/>
              <w:rPr>
                <w:sz w:val="20"/>
                <w:szCs w:val="20"/>
                <w:color w:val="auto"/>
              </w:rPr>
            </w:pPr>
            <w:r>
              <w:rPr>
                <w:rFonts w:ascii="Arial" w:cs="Arial" w:eastAsia="Arial" w:hAnsi="Arial"/>
                <w:sz w:val="17"/>
                <w:szCs w:val="17"/>
                <w:color w:val="auto"/>
                <w:w w:val="89"/>
              </w:rPr>
              <w:t>Name of each exchange on which registered</w:t>
            </w:r>
          </w:p>
        </w:tc>
      </w:tr>
      <w:tr>
        <w:trPr>
          <w:trHeight w:val="215"/>
        </w:trPr>
        <w:tc>
          <w:tcPr>
            <w:tcW w:w="3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Common Stock, $0.01 par value per share</w:t>
            </w:r>
          </w:p>
        </w:tc>
        <w:tc>
          <w:tcPr>
            <w:tcW w:w="3140" w:type="dxa"/>
            <w:vAlign w:val="bottom"/>
            <w:tcBorders>
              <w:bottom w:val="single" w:sz="8" w:color="auto"/>
            </w:tcBorders>
          </w:tcPr>
          <w:p>
            <w:pPr>
              <w:jc w:val="center"/>
              <w:ind w:left="175"/>
              <w:spacing w:after="0"/>
              <w:rPr>
                <w:sz w:val="20"/>
                <w:szCs w:val="20"/>
                <w:color w:val="auto"/>
              </w:rPr>
            </w:pPr>
            <w:r>
              <w:rPr>
                <w:rFonts w:ascii="Arial" w:cs="Arial" w:eastAsia="Arial" w:hAnsi="Arial"/>
                <w:sz w:val="17"/>
                <w:szCs w:val="17"/>
                <w:color w:val="auto"/>
              </w:rPr>
              <w:t>KINS</w:t>
            </w:r>
          </w:p>
        </w:tc>
        <w:tc>
          <w:tcPr>
            <w:tcW w:w="4180" w:type="dxa"/>
            <w:vAlign w:val="bottom"/>
            <w:tcBorders>
              <w:bottom w:val="single" w:sz="8" w:color="auto"/>
            </w:tcBorders>
          </w:tcPr>
          <w:p>
            <w:pPr>
              <w:jc w:val="center"/>
              <w:ind w:left="355"/>
              <w:spacing w:after="0"/>
              <w:rPr>
                <w:sz w:val="20"/>
                <w:szCs w:val="20"/>
                <w:color w:val="auto"/>
              </w:rPr>
            </w:pPr>
            <w:r>
              <w:rPr>
                <w:rFonts w:ascii="Arial" w:cs="Arial" w:eastAsia="Arial" w:hAnsi="Arial"/>
                <w:sz w:val="17"/>
                <w:szCs w:val="17"/>
                <w:color w:val="auto"/>
                <w:w w:val="91"/>
              </w:rPr>
              <w:t>Nasdaq Capital Market</w:t>
            </w:r>
          </w:p>
        </w:tc>
      </w:tr>
    </w:tbl>
    <w:p>
      <w:pPr>
        <w:spacing w:after="0" w:line="201" w:lineRule="exact"/>
        <w:rPr>
          <w:sz w:val="24"/>
          <w:szCs w:val="24"/>
          <w:color w:val="auto"/>
        </w:rPr>
      </w:pPr>
    </w:p>
    <w:p>
      <w:pPr>
        <w:jc w:val="both"/>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 w:lineRule="exact"/>
        <w:rPr>
          <w:sz w:val="24"/>
          <w:szCs w:val="24"/>
          <w:color w:val="auto"/>
        </w:rPr>
      </w:pPr>
    </w:p>
    <w:p>
      <w:pPr>
        <w:ind w:right="180"/>
        <w:spacing w:after="0" w:line="215"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84" w:lineRule="exact"/>
        <w:rPr>
          <w:sz w:val="24"/>
          <w:szCs w:val="24"/>
          <w:color w:val="auto"/>
        </w:rPr>
      </w:pPr>
    </w:p>
    <w:p>
      <w:pPr>
        <w:ind w:right="620"/>
        <w:spacing w:after="0" w:line="31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209"/>
        </w:trPr>
        <w:tc>
          <w:tcPr>
            <w:tcW w:w="212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320" w:type="dxa"/>
            <w:vAlign w:val="bottom"/>
          </w:tcPr>
          <w:p>
            <w:pPr>
              <w:ind w:left="580"/>
              <w:spacing w:after="0" w:line="171" w:lineRule="exact"/>
              <w:rPr>
                <w:sz w:val="20"/>
                <w:szCs w:val="20"/>
                <w:color w:val="auto"/>
              </w:rPr>
            </w:pPr>
            <w:r>
              <w:rPr>
                <w:rFonts w:ascii="MS PGothic" w:cs="MS PGothic" w:eastAsia="MS PGothic" w:hAnsi="MS PGothic"/>
                <w:sz w:val="17"/>
                <w:szCs w:val="17"/>
                <w:color w:val="auto"/>
              </w:rPr>
              <w:t>☐</w:t>
            </w:r>
          </w:p>
        </w:tc>
        <w:tc>
          <w:tcPr>
            <w:tcW w:w="4940" w:type="dxa"/>
            <w:vAlign w:val="bottom"/>
          </w:tcPr>
          <w:p>
            <w:pPr>
              <w:ind w:left="2560"/>
              <w:spacing w:after="0"/>
              <w:rPr>
                <w:sz w:val="20"/>
                <w:szCs w:val="20"/>
                <w:color w:val="auto"/>
              </w:rPr>
            </w:pPr>
            <w:r>
              <w:rPr>
                <w:rFonts w:ascii="Arial" w:cs="Arial" w:eastAsia="Arial" w:hAnsi="Arial"/>
                <w:sz w:val="17"/>
                <w:szCs w:val="17"/>
                <w:color w:val="auto"/>
              </w:rPr>
              <w:t>Accelerated filer</w:t>
            </w:r>
          </w:p>
        </w:tc>
        <w:tc>
          <w:tcPr>
            <w:tcW w:w="680" w:type="dxa"/>
            <w:vAlign w:val="bottom"/>
          </w:tcPr>
          <w:p>
            <w:pPr>
              <w:ind w:left="54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09"/>
        </w:trPr>
        <w:tc>
          <w:tcPr>
            <w:tcW w:w="2120" w:type="dxa"/>
            <w:vAlign w:val="bottom"/>
          </w:tcPr>
          <w:p>
            <w:pPr>
              <w:spacing w:after="0"/>
              <w:rPr>
                <w:sz w:val="20"/>
                <w:szCs w:val="20"/>
                <w:color w:val="auto"/>
              </w:rPr>
            </w:pPr>
            <w:r>
              <w:rPr>
                <w:rFonts w:ascii="Arial" w:cs="Arial" w:eastAsia="Arial" w:hAnsi="Arial"/>
                <w:sz w:val="17"/>
                <w:szCs w:val="17"/>
                <w:color w:val="auto"/>
              </w:rPr>
              <w:t>Non-accelerated filer</w:t>
            </w:r>
          </w:p>
        </w:tc>
        <w:tc>
          <w:tcPr>
            <w:tcW w:w="3320" w:type="dxa"/>
            <w:vAlign w:val="bottom"/>
          </w:tcPr>
          <w:p>
            <w:pPr>
              <w:ind w:left="580"/>
              <w:spacing w:after="0" w:line="171" w:lineRule="exact"/>
              <w:rPr>
                <w:sz w:val="20"/>
                <w:szCs w:val="20"/>
                <w:color w:val="auto"/>
              </w:rPr>
            </w:pPr>
            <w:r>
              <w:rPr>
                <w:rFonts w:ascii="MS PGothic" w:cs="MS PGothic" w:eastAsia="MS PGothic" w:hAnsi="MS PGothic"/>
                <w:sz w:val="17"/>
                <w:szCs w:val="17"/>
                <w:color w:val="auto"/>
              </w:rPr>
              <w:t>☐</w:t>
            </w:r>
          </w:p>
        </w:tc>
        <w:tc>
          <w:tcPr>
            <w:tcW w:w="4940" w:type="dxa"/>
            <w:vAlign w:val="bottom"/>
          </w:tcPr>
          <w:p>
            <w:pPr>
              <w:ind w:left="2560"/>
              <w:spacing w:after="0"/>
              <w:rPr>
                <w:sz w:val="20"/>
                <w:szCs w:val="20"/>
                <w:color w:val="auto"/>
              </w:rPr>
            </w:pPr>
            <w:r>
              <w:rPr>
                <w:rFonts w:ascii="Arial" w:cs="Arial" w:eastAsia="Arial" w:hAnsi="Arial"/>
                <w:sz w:val="17"/>
                <w:szCs w:val="17"/>
                <w:color w:val="auto"/>
              </w:rPr>
              <w:t>Smaller reporting company</w:t>
            </w:r>
          </w:p>
        </w:tc>
        <w:tc>
          <w:tcPr>
            <w:tcW w:w="680" w:type="dxa"/>
            <w:vAlign w:val="bottom"/>
          </w:tcPr>
          <w:p>
            <w:pPr>
              <w:ind w:left="54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68"/>
        </w:trPr>
        <w:tc>
          <w:tcPr>
            <w:tcW w:w="212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4940" w:type="dxa"/>
            <w:vAlign w:val="bottom"/>
          </w:tcPr>
          <w:p>
            <w:pPr>
              <w:ind w:left="2560"/>
              <w:spacing w:after="0"/>
              <w:rPr>
                <w:sz w:val="20"/>
                <w:szCs w:val="20"/>
                <w:color w:val="auto"/>
              </w:rPr>
            </w:pPr>
            <w:r>
              <w:rPr>
                <w:rFonts w:ascii="Arial" w:cs="Arial" w:eastAsia="Arial" w:hAnsi="Arial"/>
                <w:sz w:val="17"/>
                <w:szCs w:val="17"/>
                <w:color w:val="auto"/>
              </w:rPr>
              <w:t>Emerging growth company</w:t>
            </w:r>
          </w:p>
        </w:tc>
        <w:tc>
          <w:tcPr>
            <w:tcW w:w="680" w:type="dxa"/>
            <w:vAlign w:val="bottom"/>
          </w:tcPr>
          <w:p>
            <w:pPr>
              <w:ind w:left="54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183" w:lineRule="exact"/>
        <w:rPr>
          <w:sz w:val="24"/>
          <w:szCs w:val="24"/>
          <w:color w:val="auto"/>
        </w:rPr>
      </w:pPr>
    </w:p>
    <w:p>
      <w:pPr>
        <w:ind w:right="60"/>
        <w:spacing w:after="0" w:line="21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215" w:lineRule="exact"/>
        <w:rPr>
          <w:sz w:val="24"/>
          <w:szCs w:val="24"/>
          <w:color w:val="auto"/>
        </w:rPr>
      </w:pPr>
    </w:p>
    <w:p>
      <w:pPr>
        <w:spacing w:after="0"/>
        <w:rPr>
          <w:sz w:val="20"/>
          <w:szCs w:val="20"/>
          <w:color w:val="auto"/>
        </w:rPr>
      </w:pPr>
      <w:r>
        <w:rPr>
          <w:rFonts w:ascii="Arial" w:cs="Arial" w:eastAsia="Arial" w:hAnsi="Arial"/>
          <w:sz w:val="17"/>
          <w:szCs w:val="17"/>
          <w:color w:val="auto"/>
        </w:rPr>
        <w:t>As of May 8, 2020, there were 10,793,260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146685</wp:posOffset>
            </wp:positionV>
            <wp:extent cx="7136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221615</wp:posOffset>
            </wp:positionV>
            <wp:extent cx="7136765" cy="33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765" cy="33020"/>
                    </a:xfrm>
                    <a:prstGeom prst="rect">
                      <a:avLst/>
                    </a:prstGeom>
                    <a:noFill/>
                  </pic:spPr>
                </pic:pic>
              </a:graphicData>
            </a:graphic>
          </wp:anchor>
        </w:drawing>
      </w:r>
    </w:p>
    <w:p>
      <w:pPr>
        <w:sectPr>
          <w:pgSz w:w="11900" w:h="16838" w:orient="portrait"/>
          <w:cols w:equalWidth="0" w:num="1">
            <w:col w:w="11240"/>
          </w:cols>
          <w:pgMar w:left="320" w:top="674"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t>KINGSTONE COMPANIES,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INDEX</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Borders>
              <w:bottom w:val="single" w:sz="8" w:color="auto"/>
            </w:tcBorders>
          </w:tcPr>
          <w:p>
            <w:pPr>
              <w:ind w:left="340"/>
              <w:spacing w:after="0"/>
              <w:rPr>
                <w:sz w:val="20"/>
                <w:szCs w:val="20"/>
                <w:color w:val="auto"/>
              </w:rPr>
            </w:pPr>
            <w:r>
              <w:rPr>
                <w:rFonts w:ascii="Arial" w:cs="Arial" w:eastAsia="Arial" w:hAnsi="Arial"/>
                <w:sz w:val="17"/>
                <w:szCs w:val="17"/>
                <w:b w:val="1"/>
                <w:bCs w:val="1"/>
                <w:color w:val="auto"/>
              </w:rPr>
              <w:t>PAGE</w:t>
            </w:r>
          </w:p>
        </w:tc>
      </w:tr>
      <w:tr>
        <w:trPr>
          <w:trHeight w:val="209"/>
        </w:trPr>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10120" w:type="dxa"/>
            <w:vAlign w:val="bottom"/>
            <w:gridSpan w:val="6"/>
            <w:shd w:val="clear" w:color="auto" w:fill="CCEEFF"/>
          </w:tcPr>
          <w:p>
            <w:pPr>
              <w:spacing w:after="0"/>
              <w:rPr>
                <w:sz w:val="20"/>
                <w:szCs w:val="20"/>
                <w:color w:val="auto"/>
              </w:rPr>
            </w:pPr>
            <w:r>
              <w:rPr>
                <w:rFonts w:ascii="Arial" w:cs="Arial" w:eastAsia="Arial" w:hAnsi="Arial"/>
                <w:sz w:val="17"/>
                <w:szCs w:val="17"/>
                <w:b w:val="1"/>
                <w:bCs w:val="1"/>
                <w:color w:val="auto"/>
              </w:rPr>
              <w:t>PART I — FINANCIAL INFORMATION</w:t>
            </w:r>
          </w:p>
        </w:tc>
        <w:tc>
          <w:tcPr>
            <w:tcW w:w="1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2</w:t>
            </w:r>
          </w:p>
        </w:tc>
      </w:tr>
      <w:tr>
        <w:trPr>
          <w:trHeight w:val="209"/>
        </w:trPr>
        <w:tc>
          <w:tcPr>
            <w:tcW w:w="10120" w:type="dxa"/>
            <w:vAlign w:val="bottom"/>
            <w:gridSpan w:val="6"/>
          </w:tcPr>
          <w:p>
            <w:pPr>
              <w:ind w:left="320"/>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Item 1 — Financial Statements</w:t>
              </w:r>
            </w:hyperlink>
          </w:p>
        </w:tc>
        <w:tc>
          <w:tcPr>
            <w:tcW w:w="1120" w:type="dxa"/>
            <w:vAlign w:val="bottom"/>
          </w:tcPr>
          <w:p>
            <w:pPr>
              <w:jc w:val="center"/>
              <w:spacing w:after="0"/>
              <w:rPr>
                <w:sz w:val="20"/>
                <w:szCs w:val="20"/>
                <w:color w:val="auto"/>
              </w:rPr>
            </w:pPr>
            <w:r>
              <w:rPr>
                <w:rFonts w:ascii="Arial" w:cs="Arial" w:eastAsia="Arial" w:hAnsi="Arial"/>
                <w:sz w:val="17"/>
                <w:szCs w:val="17"/>
                <w:color w:val="auto"/>
                <w:w w:val="84"/>
              </w:rPr>
              <w:t>2</w:t>
            </w:r>
          </w:p>
        </w:tc>
      </w:tr>
      <w:tr>
        <w:trPr>
          <w:trHeight w:val="209"/>
        </w:trPr>
        <w:tc>
          <w:tcPr>
            <w:tcW w:w="640" w:type="dxa"/>
            <w:vAlign w:val="bottom"/>
            <w:shd w:val="clear" w:color="auto" w:fill="CCEEFF"/>
          </w:tcPr>
          <w:p>
            <w:pPr>
              <w:spacing w:after="0"/>
              <w:rPr>
                <w:sz w:val="18"/>
                <w:szCs w:val="18"/>
                <w:color w:val="auto"/>
              </w:rPr>
            </w:pPr>
          </w:p>
        </w:tc>
        <w:tc>
          <w:tcPr>
            <w:tcW w:w="9480" w:type="dxa"/>
            <w:vAlign w:val="bottom"/>
            <w:gridSpan w:val="5"/>
            <w:shd w:val="clear" w:color="auto" w:fill="CCEEFF"/>
          </w:tcPr>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Condensed Consolidated Balance Sheets at March 31, 2020 (Unaudited) and December 31, 2019</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2</w:t>
            </w:r>
          </w:p>
        </w:tc>
      </w:tr>
      <w:tr>
        <w:trPr>
          <w:trHeight w:val="170"/>
        </w:trPr>
        <w:tc>
          <w:tcPr>
            <w:tcW w:w="640" w:type="dxa"/>
            <w:vAlign w:val="bottom"/>
          </w:tcPr>
          <w:p>
            <w:pPr>
              <w:spacing w:after="0"/>
              <w:rPr>
                <w:sz w:val="14"/>
                <w:szCs w:val="14"/>
                <w:color w:val="auto"/>
              </w:rPr>
            </w:pPr>
          </w:p>
        </w:tc>
        <w:tc>
          <w:tcPr>
            <w:tcW w:w="9480" w:type="dxa"/>
            <w:vAlign w:val="bottom"/>
            <w:gridSpan w:val="5"/>
          </w:tcPr>
          <w:p>
            <w:pPr>
              <w:spacing w:after="0" w:line="170" w:lineRule="exact"/>
              <w:rPr>
                <w:rFonts w:ascii="Arial" w:cs="Arial" w:eastAsia="Arial" w:hAnsi="Arial"/>
                <w:sz w:val="17"/>
                <w:szCs w:val="17"/>
                <w:color w:val="0000EE"/>
                <w:w w:val="90"/>
              </w:rPr>
            </w:pPr>
            <w:hyperlink w:anchor="page5">
              <w:r>
                <w:rPr>
                  <w:rFonts w:ascii="Arial" w:cs="Arial" w:eastAsia="Arial" w:hAnsi="Arial"/>
                  <w:sz w:val="17"/>
                  <w:szCs w:val="17"/>
                  <w:color w:val="0000EE"/>
                  <w:w w:val="90"/>
                </w:rPr>
                <w:t>Condensed Consolidated Statements of Operations and Comprehensive Loss for the three months ended March 31, 2020 (Unaudited) and</w:t>
              </w:r>
            </w:hyperlink>
          </w:p>
        </w:tc>
        <w:tc>
          <w:tcPr>
            <w:tcW w:w="1120" w:type="dxa"/>
            <w:vAlign w:val="bottom"/>
          </w:tcPr>
          <w:p>
            <w:pPr>
              <w:spacing w:after="0"/>
              <w:rPr>
                <w:sz w:val="14"/>
                <w:szCs w:val="14"/>
                <w:color w:val="auto"/>
              </w:rPr>
            </w:pPr>
          </w:p>
        </w:tc>
      </w:tr>
      <w:tr>
        <w:trPr>
          <w:trHeight w:val="20"/>
        </w:trPr>
        <w:tc>
          <w:tcPr>
            <w:tcW w:w="6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89"/>
        </w:trPr>
        <w:tc>
          <w:tcPr>
            <w:tcW w:w="10120" w:type="dxa"/>
            <w:vAlign w:val="bottom"/>
            <w:gridSpan w:val="6"/>
          </w:tcPr>
          <w:p>
            <w:pPr>
              <w:spacing w:after="0" w:line="189" w:lineRule="exact"/>
              <w:rPr>
                <w:rFonts w:ascii="Arial" w:cs="Arial" w:eastAsia="Arial" w:hAnsi="Arial"/>
                <w:sz w:val="17"/>
                <w:szCs w:val="17"/>
                <w:color w:val="0000EE"/>
              </w:rPr>
            </w:pPr>
            <w:hyperlink w:anchor="page5">
              <w:r>
                <w:rPr>
                  <w:rFonts w:ascii="Arial" w:cs="Arial" w:eastAsia="Arial" w:hAnsi="Arial"/>
                  <w:sz w:val="17"/>
                  <w:szCs w:val="17"/>
                  <w:color w:val="0000EE"/>
                </w:rPr>
                <w:t>2019 (Unaudited)</w:t>
              </w:r>
            </w:hyperlink>
          </w:p>
        </w:tc>
        <w:tc>
          <w:tcPr>
            <w:tcW w:w="1120" w:type="dxa"/>
            <w:vAlign w:val="bottom"/>
          </w:tcPr>
          <w:p>
            <w:pPr>
              <w:jc w:val="center"/>
              <w:spacing w:after="0" w:line="189" w:lineRule="exact"/>
              <w:rPr>
                <w:sz w:val="20"/>
                <w:szCs w:val="20"/>
                <w:color w:val="auto"/>
              </w:rPr>
            </w:pPr>
            <w:r>
              <w:rPr>
                <w:rFonts w:ascii="Arial" w:cs="Arial" w:eastAsia="Arial" w:hAnsi="Arial"/>
                <w:sz w:val="17"/>
                <w:szCs w:val="17"/>
                <w:color w:val="auto"/>
                <w:w w:val="84"/>
              </w:rPr>
              <w:t>3</w:t>
            </w:r>
          </w:p>
        </w:tc>
      </w:tr>
      <w:tr>
        <w:trPr>
          <w:trHeight w:val="30"/>
        </w:trPr>
        <w:tc>
          <w:tcPr>
            <w:tcW w:w="64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8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79"/>
        </w:trPr>
        <w:tc>
          <w:tcPr>
            <w:tcW w:w="640" w:type="dxa"/>
            <w:vAlign w:val="bottom"/>
            <w:tcBorders>
              <w:bottom w:val="single" w:sz="8" w:color="CCEEFF"/>
            </w:tcBorders>
            <w:shd w:val="clear" w:color="auto" w:fill="CCEEFF"/>
          </w:tcPr>
          <w:p>
            <w:pPr>
              <w:spacing w:after="0"/>
              <w:rPr>
                <w:sz w:val="15"/>
                <w:szCs w:val="15"/>
                <w:color w:val="auto"/>
              </w:rPr>
            </w:pPr>
          </w:p>
        </w:tc>
        <w:tc>
          <w:tcPr>
            <w:tcW w:w="8660" w:type="dxa"/>
            <w:vAlign w:val="bottom"/>
            <w:tcBorders>
              <w:bottom w:val="single" w:sz="8" w:color="0000EE"/>
            </w:tcBorders>
            <w:gridSpan w:val="3"/>
            <w:shd w:val="clear" w:color="auto" w:fill="CCEEFF"/>
          </w:tcPr>
          <w:p>
            <w:pPr>
              <w:spacing w:after="0" w:line="180" w:lineRule="exact"/>
              <w:rPr>
                <w:rFonts w:ascii="Arial" w:cs="Arial" w:eastAsia="Arial" w:hAnsi="Arial"/>
                <w:sz w:val="17"/>
                <w:szCs w:val="17"/>
                <w:color w:val="0000EE"/>
                <w:w w:val="89"/>
              </w:rPr>
            </w:pPr>
            <w:hyperlink w:anchor="page6">
              <w:r>
                <w:rPr>
                  <w:rFonts w:ascii="Arial" w:cs="Arial" w:eastAsia="Arial" w:hAnsi="Arial"/>
                  <w:sz w:val="17"/>
                  <w:szCs w:val="17"/>
                  <w:color w:val="0000EE"/>
                  <w:w w:val="89"/>
                </w:rPr>
                <w:t>Condensed Consolidated Statements of Stockholders’ Equity for the three months ended March 31, 2020 (Unaudited) and 2019</w:t>
              </w:r>
            </w:hyperlink>
          </w:p>
        </w:tc>
        <w:tc>
          <w:tcPr>
            <w:tcW w:w="820" w:type="dxa"/>
            <w:vAlign w:val="bottom"/>
            <w:tcBorders>
              <w:bottom w:val="single" w:sz="8" w:color="CCEEFF"/>
            </w:tcBorders>
            <w:gridSpan w:val="2"/>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r>
      <w:tr>
        <w:trPr>
          <w:trHeight w:val="189"/>
        </w:trPr>
        <w:tc>
          <w:tcPr>
            <w:tcW w:w="10120" w:type="dxa"/>
            <w:vAlign w:val="bottom"/>
            <w:gridSpan w:val="6"/>
            <w:shd w:val="clear" w:color="auto" w:fill="CCEEFF"/>
          </w:tcPr>
          <w:p>
            <w:pPr>
              <w:spacing w:after="0" w:line="189" w:lineRule="exact"/>
              <w:rPr>
                <w:rFonts w:ascii="Arial" w:cs="Arial" w:eastAsia="Arial" w:hAnsi="Arial"/>
                <w:sz w:val="17"/>
                <w:szCs w:val="17"/>
                <w:color w:val="0000EE"/>
              </w:rPr>
            </w:pPr>
            <w:hyperlink w:anchor="page6">
              <w:r>
                <w:rPr>
                  <w:rFonts w:ascii="Arial" w:cs="Arial" w:eastAsia="Arial" w:hAnsi="Arial"/>
                  <w:sz w:val="17"/>
                  <w:szCs w:val="17"/>
                  <w:color w:val="0000EE"/>
                </w:rPr>
                <w:t>(Unaudited)</w:t>
              </w:r>
            </w:hyperlink>
          </w:p>
        </w:tc>
        <w:tc>
          <w:tcPr>
            <w:tcW w:w="112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w w:val="84"/>
              </w:rPr>
              <w:t>4</w:t>
            </w:r>
          </w:p>
        </w:tc>
      </w:tr>
      <w:tr>
        <w:trPr>
          <w:trHeight w:val="39"/>
        </w:trPr>
        <w:tc>
          <w:tcPr>
            <w:tcW w:w="64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810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r>
      <w:tr>
        <w:trPr>
          <w:trHeight w:val="209"/>
        </w:trPr>
        <w:tc>
          <w:tcPr>
            <w:tcW w:w="640" w:type="dxa"/>
            <w:vAlign w:val="bottom"/>
          </w:tcPr>
          <w:p>
            <w:pPr>
              <w:spacing w:after="0"/>
              <w:rPr>
                <w:sz w:val="18"/>
                <w:szCs w:val="18"/>
                <w:color w:val="auto"/>
              </w:rPr>
            </w:pPr>
          </w:p>
        </w:tc>
        <w:tc>
          <w:tcPr>
            <w:tcW w:w="9480" w:type="dxa"/>
            <w:vAlign w:val="bottom"/>
            <w:gridSpan w:val="5"/>
          </w:tcPr>
          <w:p>
            <w:pPr>
              <w:spacing w:after="0"/>
              <w:rPr>
                <w:rFonts w:ascii="Arial" w:cs="Arial" w:eastAsia="Arial" w:hAnsi="Arial"/>
                <w:sz w:val="17"/>
                <w:szCs w:val="17"/>
                <w:u w:val="single" w:color="auto"/>
                <w:color w:val="0000EE"/>
                <w:w w:val="95"/>
              </w:rPr>
            </w:pPr>
            <w:hyperlink w:anchor="page7">
              <w:r>
                <w:rPr>
                  <w:rFonts w:ascii="Arial" w:cs="Arial" w:eastAsia="Arial" w:hAnsi="Arial"/>
                  <w:sz w:val="17"/>
                  <w:szCs w:val="17"/>
                  <w:u w:val="single" w:color="auto"/>
                  <w:color w:val="0000EE"/>
                  <w:w w:val="95"/>
                </w:rPr>
                <w:t>Condensed Consolidated Statements of Cash Flows for the three months ended March 31, 2020 (Unaudited) and 2019 (Unaudited)</w:t>
              </w:r>
            </w:hyperlink>
          </w:p>
        </w:tc>
        <w:tc>
          <w:tcPr>
            <w:tcW w:w="1120" w:type="dxa"/>
            <w:vAlign w:val="bottom"/>
          </w:tcPr>
          <w:p>
            <w:pPr>
              <w:jc w:val="center"/>
              <w:spacing w:after="0"/>
              <w:rPr>
                <w:sz w:val="20"/>
                <w:szCs w:val="20"/>
                <w:color w:val="auto"/>
              </w:rPr>
            </w:pPr>
            <w:r>
              <w:rPr>
                <w:rFonts w:ascii="Arial" w:cs="Arial" w:eastAsia="Arial" w:hAnsi="Arial"/>
                <w:sz w:val="17"/>
                <w:szCs w:val="17"/>
                <w:color w:val="auto"/>
                <w:w w:val="84"/>
              </w:rPr>
              <w:t>5</w:t>
            </w:r>
          </w:p>
        </w:tc>
      </w:tr>
      <w:tr>
        <w:trPr>
          <w:trHeight w:val="209"/>
        </w:trPr>
        <w:tc>
          <w:tcPr>
            <w:tcW w:w="640" w:type="dxa"/>
            <w:vAlign w:val="bottom"/>
            <w:shd w:val="clear" w:color="auto" w:fill="CCEEFF"/>
          </w:tcPr>
          <w:p>
            <w:pPr>
              <w:spacing w:after="0"/>
              <w:rPr>
                <w:sz w:val="18"/>
                <w:szCs w:val="18"/>
                <w:color w:val="auto"/>
              </w:rPr>
            </w:pPr>
          </w:p>
        </w:tc>
        <w:tc>
          <w:tcPr>
            <w:tcW w:w="9480" w:type="dxa"/>
            <w:vAlign w:val="bottom"/>
            <w:gridSpan w:val="5"/>
            <w:shd w:val="clear" w:color="auto" w:fill="CCEEFF"/>
          </w:tcPr>
          <w:p>
            <w:pPr>
              <w:spacing w:after="0"/>
              <w:rPr>
                <w:rFonts w:ascii="Arial" w:cs="Arial" w:eastAsia="Arial" w:hAnsi="Arial"/>
                <w:sz w:val="17"/>
                <w:szCs w:val="17"/>
                <w:u w:val="single" w:color="auto"/>
                <w:color w:val="0000EE"/>
              </w:rPr>
            </w:pPr>
            <w:hyperlink w:anchor="page8">
              <w:r>
                <w:rPr>
                  <w:rFonts w:ascii="Arial" w:cs="Arial" w:eastAsia="Arial" w:hAnsi="Arial"/>
                  <w:sz w:val="17"/>
                  <w:szCs w:val="17"/>
                  <w:u w:val="single" w:color="auto"/>
                  <w:color w:val="0000EE"/>
                </w:rPr>
                <w:t>Notes to Condensed Consolidated Financial Statements (Unaudited)</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6</w:t>
            </w:r>
          </w:p>
        </w:tc>
      </w:tr>
      <w:tr>
        <w:trPr>
          <w:trHeight w:val="209"/>
        </w:trPr>
        <w:tc>
          <w:tcPr>
            <w:tcW w:w="10120" w:type="dxa"/>
            <w:vAlign w:val="bottom"/>
            <w:gridSpan w:val="6"/>
          </w:tcPr>
          <w:p>
            <w:pPr>
              <w:ind w:left="320"/>
              <w:spacing w:after="0"/>
              <w:rPr>
                <w:rFonts w:ascii="Arial" w:cs="Arial" w:eastAsia="Arial" w:hAnsi="Arial"/>
                <w:sz w:val="17"/>
                <w:szCs w:val="17"/>
                <w:u w:val="single" w:color="auto"/>
                <w:color w:val="0000EE"/>
              </w:rPr>
            </w:pPr>
            <w:hyperlink w:anchor="page36">
              <w:r>
                <w:rPr>
                  <w:rFonts w:ascii="Arial" w:cs="Arial" w:eastAsia="Arial" w:hAnsi="Arial"/>
                  <w:sz w:val="17"/>
                  <w:szCs w:val="17"/>
                  <w:u w:val="single" w:color="auto"/>
                  <w:color w:val="0000EE"/>
                </w:rPr>
                <w:t>Item 2 — Management’s Discussion and Analysis of Financial Condition and Results of Operations</w:t>
              </w:r>
            </w:hyperlink>
          </w:p>
        </w:tc>
        <w:tc>
          <w:tcPr>
            <w:tcW w:w="1120" w:type="dxa"/>
            <w:vAlign w:val="bottom"/>
          </w:tcPr>
          <w:p>
            <w:pPr>
              <w:jc w:val="center"/>
              <w:spacing w:after="0"/>
              <w:rPr>
                <w:sz w:val="20"/>
                <w:szCs w:val="20"/>
                <w:color w:val="auto"/>
              </w:rPr>
            </w:pPr>
            <w:r>
              <w:rPr>
                <w:rFonts w:ascii="Arial" w:cs="Arial" w:eastAsia="Arial" w:hAnsi="Arial"/>
                <w:sz w:val="17"/>
                <w:szCs w:val="17"/>
                <w:color w:val="auto"/>
                <w:w w:val="84"/>
              </w:rPr>
              <w:t>34</w:t>
            </w:r>
          </w:p>
        </w:tc>
      </w:tr>
      <w:tr>
        <w:trPr>
          <w:trHeight w:val="209"/>
        </w:trPr>
        <w:tc>
          <w:tcPr>
            <w:tcW w:w="10120" w:type="dxa"/>
            <w:vAlign w:val="bottom"/>
            <w:gridSpan w:val="6"/>
            <w:shd w:val="clear" w:color="auto" w:fill="CCEEFF"/>
          </w:tcPr>
          <w:p>
            <w:pPr>
              <w:ind w:left="320"/>
              <w:spacing w:after="0"/>
              <w:rPr>
                <w:rFonts w:ascii="Arial" w:cs="Arial" w:eastAsia="Arial" w:hAnsi="Arial"/>
                <w:sz w:val="17"/>
                <w:szCs w:val="17"/>
                <w:u w:val="single" w:color="auto"/>
                <w:color w:val="0000EE"/>
              </w:rPr>
            </w:pPr>
            <w:hyperlink w:anchor="page62">
              <w:r>
                <w:rPr>
                  <w:rFonts w:ascii="Arial" w:cs="Arial" w:eastAsia="Arial" w:hAnsi="Arial"/>
                  <w:sz w:val="17"/>
                  <w:szCs w:val="17"/>
                  <w:u w:val="single" w:color="auto"/>
                  <w:color w:val="0000EE"/>
                </w:rPr>
                <w:t>Item 3 — Quantitative and Qualitative Disclosures About Market Risk</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59</w:t>
            </w:r>
          </w:p>
        </w:tc>
      </w:tr>
      <w:tr>
        <w:trPr>
          <w:trHeight w:val="209"/>
        </w:trPr>
        <w:tc>
          <w:tcPr>
            <w:tcW w:w="10120" w:type="dxa"/>
            <w:vAlign w:val="bottom"/>
            <w:gridSpan w:val="6"/>
          </w:tcPr>
          <w:p>
            <w:pPr>
              <w:ind w:left="320"/>
              <w:spacing w:after="0"/>
              <w:rPr>
                <w:rFonts w:ascii="Arial" w:cs="Arial" w:eastAsia="Arial" w:hAnsi="Arial"/>
                <w:sz w:val="17"/>
                <w:szCs w:val="17"/>
                <w:u w:val="single" w:color="auto"/>
                <w:color w:val="0000EE"/>
              </w:rPr>
            </w:pPr>
            <w:hyperlink w:anchor="page62">
              <w:r>
                <w:rPr>
                  <w:rFonts w:ascii="Arial" w:cs="Arial" w:eastAsia="Arial" w:hAnsi="Arial"/>
                  <w:sz w:val="17"/>
                  <w:szCs w:val="17"/>
                  <w:u w:val="single" w:color="auto"/>
                  <w:color w:val="0000EE"/>
                </w:rPr>
                <w:t>Item 4 — Controls and Procedures</w:t>
              </w:r>
            </w:hyperlink>
          </w:p>
        </w:tc>
        <w:tc>
          <w:tcPr>
            <w:tcW w:w="1120" w:type="dxa"/>
            <w:vAlign w:val="bottom"/>
          </w:tcPr>
          <w:p>
            <w:pPr>
              <w:jc w:val="center"/>
              <w:spacing w:after="0"/>
              <w:rPr>
                <w:sz w:val="20"/>
                <w:szCs w:val="20"/>
                <w:color w:val="auto"/>
              </w:rPr>
            </w:pPr>
            <w:r>
              <w:rPr>
                <w:rFonts w:ascii="Arial" w:cs="Arial" w:eastAsia="Arial" w:hAnsi="Arial"/>
                <w:sz w:val="17"/>
                <w:szCs w:val="17"/>
                <w:color w:val="auto"/>
                <w:w w:val="84"/>
              </w:rPr>
              <w:t>59</w:t>
            </w:r>
          </w:p>
        </w:tc>
      </w:tr>
      <w:tr>
        <w:trPr>
          <w:trHeight w:val="209"/>
        </w:trPr>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09"/>
        </w:trPr>
        <w:tc>
          <w:tcPr>
            <w:tcW w:w="10120" w:type="dxa"/>
            <w:vAlign w:val="bottom"/>
            <w:gridSpan w:val="6"/>
          </w:tcPr>
          <w:p>
            <w:pPr>
              <w:spacing w:after="0"/>
              <w:rPr>
                <w:sz w:val="20"/>
                <w:szCs w:val="20"/>
                <w:color w:val="auto"/>
              </w:rPr>
            </w:pPr>
            <w:r>
              <w:rPr>
                <w:rFonts w:ascii="Arial" w:cs="Arial" w:eastAsia="Arial" w:hAnsi="Arial"/>
                <w:sz w:val="17"/>
                <w:szCs w:val="17"/>
                <w:b w:val="1"/>
                <w:bCs w:val="1"/>
                <w:color w:val="auto"/>
              </w:rPr>
              <w:t>PART II — OTHER INFORMATION</w:t>
            </w:r>
          </w:p>
        </w:tc>
        <w:tc>
          <w:tcPr>
            <w:tcW w:w="1120" w:type="dxa"/>
            <w:vAlign w:val="bottom"/>
          </w:tcPr>
          <w:p>
            <w:pPr>
              <w:jc w:val="center"/>
              <w:spacing w:after="0"/>
              <w:rPr>
                <w:sz w:val="20"/>
                <w:szCs w:val="20"/>
                <w:color w:val="auto"/>
              </w:rPr>
            </w:pPr>
            <w:r>
              <w:rPr>
                <w:rFonts w:ascii="Arial" w:cs="Arial" w:eastAsia="Arial" w:hAnsi="Arial"/>
                <w:sz w:val="17"/>
                <w:szCs w:val="17"/>
                <w:color w:val="auto"/>
                <w:w w:val="84"/>
              </w:rPr>
              <w:t>61</w:t>
            </w:r>
          </w:p>
        </w:tc>
      </w:tr>
      <w:tr>
        <w:trPr>
          <w:trHeight w:val="209"/>
        </w:trPr>
        <w:tc>
          <w:tcPr>
            <w:tcW w:w="10120" w:type="dxa"/>
            <w:vAlign w:val="bottom"/>
            <w:gridSpan w:val="6"/>
            <w:shd w:val="clear" w:color="auto" w:fill="CCEEFF"/>
          </w:tcPr>
          <w:p>
            <w:pPr>
              <w:ind w:left="320"/>
              <w:spacing w:after="0"/>
              <w:rPr>
                <w:rFonts w:ascii="Arial" w:cs="Arial" w:eastAsia="Arial" w:hAnsi="Arial"/>
                <w:sz w:val="17"/>
                <w:szCs w:val="17"/>
                <w:u w:val="single" w:color="auto"/>
                <w:color w:val="0000EE"/>
              </w:rPr>
            </w:pPr>
            <w:hyperlink w:anchor="page64">
              <w:r>
                <w:rPr>
                  <w:rFonts w:ascii="Arial" w:cs="Arial" w:eastAsia="Arial" w:hAnsi="Arial"/>
                  <w:sz w:val="17"/>
                  <w:szCs w:val="17"/>
                  <w:u w:val="single" w:color="auto"/>
                  <w:color w:val="0000EE"/>
                </w:rPr>
                <w:t>Item 1 — Legal Proceedings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61</w:t>
            </w:r>
          </w:p>
        </w:tc>
      </w:tr>
      <w:tr>
        <w:trPr>
          <w:trHeight w:val="209"/>
        </w:trPr>
        <w:tc>
          <w:tcPr>
            <w:tcW w:w="10120" w:type="dxa"/>
            <w:vAlign w:val="bottom"/>
            <w:gridSpan w:val="6"/>
          </w:tcPr>
          <w:p>
            <w:pPr>
              <w:ind w:left="320"/>
              <w:spacing w:after="0"/>
              <w:rPr>
                <w:rFonts w:ascii="Arial" w:cs="Arial" w:eastAsia="Arial" w:hAnsi="Arial"/>
                <w:sz w:val="17"/>
                <w:szCs w:val="17"/>
                <w:u w:val="single" w:color="auto"/>
                <w:color w:val="0000EE"/>
              </w:rPr>
            </w:pPr>
            <w:hyperlink w:anchor="page64">
              <w:r>
                <w:rPr>
                  <w:rFonts w:ascii="Arial" w:cs="Arial" w:eastAsia="Arial" w:hAnsi="Arial"/>
                  <w:sz w:val="17"/>
                  <w:szCs w:val="17"/>
                  <w:u w:val="single" w:color="auto"/>
                  <w:color w:val="0000EE"/>
                </w:rPr>
                <w:t>Item 1A — Risk Factors</w:t>
              </w:r>
            </w:hyperlink>
          </w:p>
        </w:tc>
        <w:tc>
          <w:tcPr>
            <w:tcW w:w="1120" w:type="dxa"/>
            <w:vAlign w:val="bottom"/>
          </w:tcPr>
          <w:p>
            <w:pPr>
              <w:jc w:val="center"/>
              <w:spacing w:after="0"/>
              <w:rPr>
                <w:sz w:val="20"/>
                <w:szCs w:val="20"/>
                <w:color w:val="auto"/>
              </w:rPr>
            </w:pPr>
            <w:r>
              <w:rPr>
                <w:rFonts w:ascii="Arial" w:cs="Arial" w:eastAsia="Arial" w:hAnsi="Arial"/>
                <w:sz w:val="17"/>
                <w:szCs w:val="17"/>
                <w:color w:val="auto"/>
                <w:w w:val="84"/>
              </w:rPr>
              <w:t>61</w:t>
            </w:r>
          </w:p>
        </w:tc>
      </w:tr>
      <w:tr>
        <w:trPr>
          <w:trHeight w:val="209"/>
        </w:trPr>
        <w:tc>
          <w:tcPr>
            <w:tcW w:w="10120" w:type="dxa"/>
            <w:vAlign w:val="bottom"/>
            <w:gridSpan w:val="6"/>
            <w:shd w:val="clear" w:color="auto" w:fill="CCEEFF"/>
          </w:tcPr>
          <w:p>
            <w:pPr>
              <w:ind w:left="320"/>
              <w:spacing w:after="0"/>
              <w:rPr>
                <w:rFonts w:ascii="Arial" w:cs="Arial" w:eastAsia="Arial" w:hAnsi="Arial"/>
                <w:sz w:val="17"/>
                <w:szCs w:val="17"/>
                <w:u w:val="single" w:color="auto"/>
                <w:color w:val="0000EE"/>
              </w:rPr>
            </w:pPr>
            <w:hyperlink w:anchor="page65">
              <w:r>
                <w:rPr>
                  <w:rFonts w:ascii="Arial" w:cs="Arial" w:eastAsia="Arial" w:hAnsi="Arial"/>
                  <w:sz w:val="17"/>
                  <w:szCs w:val="17"/>
                  <w:u w:val="single" w:color="auto"/>
                  <w:color w:val="0000EE"/>
                </w:rPr>
                <w:t>Item 2 —Unregistered Sales of Equity Securities and Use of Proceeds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62</w:t>
            </w:r>
          </w:p>
        </w:tc>
      </w:tr>
      <w:tr>
        <w:trPr>
          <w:trHeight w:val="209"/>
        </w:trPr>
        <w:tc>
          <w:tcPr>
            <w:tcW w:w="10120" w:type="dxa"/>
            <w:vAlign w:val="bottom"/>
            <w:gridSpan w:val="6"/>
          </w:tcPr>
          <w:p>
            <w:pPr>
              <w:ind w:left="320"/>
              <w:spacing w:after="0"/>
              <w:rPr>
                <w:rFonts w:ascii="Arial" w:cs="Arial" w:eastAsia="Arial" w:hAnsi="Arial"/>
                <w:sz w:val="17"/>
                <w:szCs w:val="17"/>
                <w:u w:val="single" w:color="auto"/>
                <w:color w:val="0000EE"/>
              </w:rPr>
            </w:pPr>
            <w:hyperlink w:anchor="page65">
              <w:r>
                <w:rPr>
                  <w:rFonts w:ascii="Arial" w:cs="Arial" w:eastAsia="Arial" w:hAnsi="Arial"/>
                  <w:sz w:val="17"/>
                  <w:szCs w:val="17"/>
                  <w:u w:val="single" w:color="auto"/>
                  <w:color w:val="0000EE"/>
                </w:rPr>
                <w:t>Item 3 —Defaults Upon Senior Securities</w:t>
              </w:r>
            </w:hyperlink>
          </w:p>
        </w:tc>
        <w:tc>
          <w:tcPr>
            <w:tcW w:w="1120" w:type="dxa"/>
            <w:vAlign w:val="bottom"/>
          </w:tcPr>
          <w:p>
            <w:pPr>
              <w:jc w:val="center"/>
              <w:spacing w:after="0"/>
              <w:rPr>
                <w:sz w:val="20"/>
                <w:szCs w:val="20"/>
                <w:color w:val="auto"/>
              </w:rPr>
            </w:pPr>
            <w:r>
              <w:rPr>
                <w:rFonts w:ascii="Arial" w:cs="Arial" w:eastAsia="Arial" w:hAnsi="Arial"/>
                <w:sz w:val="17"/>
                <w:szCs w:val="17"/>
                <w:color w:val="auto"/>
                <w:w w:val="84"/>
              </w:rPr>
              <w:t>62</w:t>
            </w:r>
          </w:p>
        </w:tc>
      </w:tr>
      <w:tr>
        <w:trPr>
          <w:trHeight w:val="209"/>
        </w:trPr>
        <w:tc>
          <w:tcPr>
            <w:tcW w:w="10120" w:type="dxa"/>
            <w:vAlign w:val="bottom"/>
            <w:gridSpan w:val="6"/>
            <w:shd w:val="clear" w:color="auto" w:fill="CCEEFF"/>
          </w:tcPr>
          <w:p>
            <w:pPr>
              <w:ind w:left="320"/>
              <w:spacing w:after="0"/>
              <w:rPr>
                <w:rFonts w:ascii="Arial" w:cs="Arial" w:eastAsia="Arial" w:hAnsi="Arial"/>
                <w:sz w:val="17"/>
                <w:szCs w:val="17"/>
                <w:u w:val="single" w:color="auto"/>
                <w:color w:val="0000EE"/>
              </w:rPr>
            </w:pPr>
            <w:hyperlink w:anchor="page65">
              <w:r>
                <w:rPr>
                  <w:rFonts w:ascii="Arial" w:cs="Arial" w:eastAsia="Arial" w:hAnsi="Arial"/>
                  <w:sz w:val="17"/>
                  <w:szCs w:val="17"/>
                  <w:u w:val="single" w:color="auto"/>
                  <w:color w:val="0000EE"/>
                </w:rPr>
                <w:t>Item 4 — Mine Safety Disclosures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62</w:t>
            </w:r>
          </w:p>
        </w:tc>
      </w:tr>
      <w:tr>
        <w:trPr>
          <w:trHeight w:val="209"/>
        </w:trPr>
        <w:tc>
          <w:tcPr>
            <w:tcW w:w="10120" w:type="dxa"/>
            <w:vAlign w:val="bottom"/>
            <w:gridSpan w:val="6"/>
          </w:tcPr>
          <w:p>
            <w:pPr>
              <w:ind w:left="320"/>
              <w:spacing w:after="0"/>
              <w:rPr>
                <w:rFonts w:ascii="Arial" w:cs="Arial" w:eastAsia="Arial" w:hAnsi="Arial"/>
                <w:sz w:val="17"/>
                <w:szCs w:val="17"/>
                <w:u w:val="single" w:color="auto"/>
                <w:color w:val="0000EE"/>
              </w:rPr>
            </w:pPr>
            <w:hyperlink w:anchor="page65">
              <w:r>
                <w:rPr>
                  <w:rFonts w:ascii="Arial" w:cs="Arial" w:eastAsia="Arial" w:hAnsi="Arial"/>
                  <w:sz w:val="17"/>
                  <w:szCs w:val="17"/>
                  <w:u w:val="single" w:color="auto"/>
                  <w:color w:val="0000EE"/>
                </w:rPr>
                <w:t>Item 5 — Other Information</w:t>
              </w:r>
            </w:hyperlink>
          </w:p>
        </w:tc>
        <w:tc>
          <w:tcPr>
            <w:tcW w:w="1120" w:type="dxa"/>
            <w:vAlign w:val="bottom"/>
          </w:tcPr>
          <w:p>
            <w:pPr>
              <w:jc w:val="center"/>
              <w:spacing w:after="0"/>
              <w:rPr>
                <w:sz w:val="20"/>
                <w:szCs w:val="20"/>
                <w:color w:val="auto"/>
              </w:rPr>
            </w:pPr>
            <w:r>
              <w:rPr>
                <w:rFonts w:ascii="Arial" w:cs="Arial" w:eastAsia="Arial" w:hAnsi="Arial"/>
                <w:sz w:val="17"/>
                <w:szCs w:val="17"/>
                <w:color w:val="auto"/>
                <w:w w:val="84"/>
              </w:rPr>
              <w:t>62</w:t>
            </w:r>
          </w:p>
        </w:tc>
      </w:tr>
      <w:tr>
        <w:trPr>
          <w:trHeight w:val="209"/>
        </w:trPr>
        <w:tc>
          <w:tcPr>
            <w:tcW w:w="10120" w:type="dxa"/>
            <w:vAlign w:val="bottom"/>
            <w:gridSpan w:val="6"/>
            <w:shd w:val="clear" w:color="auto" w:fill="CCEEFF"/>
          </w:tcPr>
          <w:p>
            <w:pPr>
              <w:ind w:left="320"/>
              <w:spacing w:after="0"/>
              <w:rPr>
                <w:rFonts w:ascii="Arial" w:cs="Arial" w:eastAsia="Arial" w:hAnsi="Arial"/>
                <w:sz w:val="17"/>
                <w:szCs w:val="17"/>
                <w:u w:val="single" w:color="auto"/>
                <w:color w:val="0000EE"/>
              </w:rPr>
            </w:pPr>
            <w:hyperlink w:anchor="page65">
              <w:r>
                <w:rPr>
                  <w:rFonts w:ascii="Arial" w:cs="Arial" w:eastAsia="Arial" w:hAnsi="Arial"/>
                  <w:sz w:val="17"/>
                  <w:szCs w:val="17"/>
                  <w:u w:val="single" w:color="auto"/>
                  <w:color w:val="0000EE"/>
                </w:rPr>
                <w:t>Item 6 — Exhibits</w:t>
              </w:r>
            </w:hyperlink>
          </w:p>
        </w:tc>
        <w:tc>
          <w:tcPr>
            <w:tcW w:w="1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62</w:t>
            </w:r>
          </w:p>
        </w:tc>
      </w:tr>
      <w:tr>
        <w:trPr>
          <w:trHeight w:val="215"/>
        </w:trPr>
        <w:tc>
          <w:tcPr>
            <w:tcW w:w="10120" w:type="dxa"/>
            <w:vAlign w:val="bottom"/>
            <w:gridSpan w:val="6"/>
          </w:tcPr>
          <w:p>
            <w:pPr>
              <w:ind w:left="320"/>
              <w:spacing w:after="0"/>
              <w:rPr>
                <w:rFonts w:ascii="Arial" w:cs="Arial" w:eastAsia="Arial" w:hAnsi="Arial"/>
                <w:sz w:val="17"/>
                <w:szCs w:val="17"/>
                <w:u w:val="single" w:color="auto"/>
                <w:color w:val="0000EE"/>
              </w:rPr>
            </w:pPr>
            <w:hyperlink w:anchor="page66">
              <w:r>
                <w:rPr>
                  <w:rFonts w:ascii="Arial" w:cs="Arial" w:eastAsia="Arial" w:hAnsi="Arial"/>
                  <w:sz w:val="17"/>
                  <w:szCs w:val="17"/>
                  <w:u w:val="single" w:color="auto"/>
                  <w:color w:val="0000EE"/>
                </w:rPr>
                <w:t>Signatures</w:t>
              </w:r>
            </w:hyperlink>
          </w:p>
        </w:tc>
        <w:tc>
          <w:tcPr>
            <w:tcW w:w="1120" w:type="dxa"/>
            <w:vAlign w:val="bottom"/>
          </w:tcPr>
          <w:p>
            <w:pPr>
              <w:jc w:val="center"/>
              <w:spacing w:after="0"/>
              <w:rPr>
                <w:sz w:val="20"/>
                <w:szCs w:val="20"/>
                <w:color w:val="auto"/>
              </w:rPr>
            </w:pPr>
            <w:r>
              <w:rPr>
                <w:rFonts w:ascii="Arial" w:cs="Arial" w:eastAsia="Arial" w:hAnsi="Arial"/>
                <w:sz w:val="17"/>
                <w:szCs w:val="17"/>
                <w:color w:val="auto"/>
                <w:w w:val="84"/>
              </w:rPr>
              <w:t>63</w:t>
            </w:r>
          </w:p>
        </w:tc>
      </w:tr>
      <w:tr>
        <w:trPr>
          <w:trHeight w:val="412"/>
        </w:trPr>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5"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u w:val="single" w:color="auto"/>
          <w:color w:val="auto"/>
        </w:rPr>
        <w:t>Forward-Looking Statements</w:t>
      </w:r>
    </w:p>
    <w:p>
      <w:pPr>
        <w:spacing w:after="0" w:line="161"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This Quarterly Report contains forward-looking statements within the meaning of the Private Securities Litigation Reform Act of 1995. The events described in forward-looking statements contained in this Quarterly Report may not occur. Generally, these statements relate to business plans or strategies, projected or anticipated results or other consequences of our plans or strategies, projected or anticipated results from acquisitions to be made by us, or projections involving anticipated revenues, earnings, costs or other aspects of our operating results. The words “may,” “will,” “expect,” “believe,” “anticipate,” “project,” “plan,” “intend,” “estimate,” and “continue,” and their opposites and similar expressions are intended to identify forward-looking statements. We caution you that these statements are not guarantees of future performance or events and are subject to a number of uncertainties, risks and other influences, many of which are beyond our control, which may influence the accuracy of the statements and the projections upon which the statements are based. Factors which may cause actual results and outcomes to differ materially from those contained in the forward-looking statements include, but are not limited to the risks and uncertainties discussed in Part I Item 1A of our Annual Report on Form 10-K for the year ended December 31, 2019 and Part II, Item 1A of this Quarterly Report.</w:t>
      </w:r>
    </w:p>
    <w:p>
      <w:pPr>
        <w:spacing w:after="0" w:line="9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Any one or more of these uncertainties, risks and other influences could materially affect our results of operations and whether forward-looking statements made by us ultimately prove to be accurate. Our actual results, performance and achievements could differ materially from those expressed or implied in these forward-looking statements. We undertake no obligation to publicly update or revise any forward-looking statements, whether from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 xml:space="preserve">PART I. </w:t>
      </w:r>
      <w:r>
        <w:rPr>
          <w:rFonts w:ascii="Arial" w:cs="Arial" w:eastAsia="Arial" w:hAnsi="Arial"/>
          <w:sz w:val="17"/>
          <w:szCs w:val="17"/>
          <w:b w:val="1"/>
          <w:bCs w:val="1"/>
          <w:u w:val="single" w:color="auto"/>
          <w:color w:val="auto"/>
        </w:rPr>
        <w:t>FINANCIAL INFORMATION</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u w:val="single" w:color="auto"/>
          <w:color w:val="auto"/>
        </w:rPr>
        <w:t>Financial Statements</w:t>
      </w:r>
      <w:r>
        <w:rPr>
          <w:rFonts w:ascii="Arial" w:cs="Arial" w:eastAsia="Arial" w:hAnsi="Arial"/>
          <w:sz w:val="17"/>
          <w:szCs w:val="17"/>
          <w:color w:val="auto"/>
        </w:rPr>
        <w: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KINGSTONE COMPANIES, INC.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Balance Sheets</w:t>
      </w:r>
    </w:p>
    <w:tbl>
      <w:tblPr>
        <w:tblLayout w:type="fixed"/>
        <w:tblInd w:w="0" w:type="dxa"/>
        <w:tblCellMar>
          <w:top w:w="0" w:type="dxa"/>
          <w:left w:w="0" w:type="dxa"/>
          <w:bottom w:w="0" w:type="dxa"/>
          <w:right w:w="0" w:type="dxa"/>
        </w:tblCellMar>
      </w:tblPr>
      <w:tr>
        <w:trPr>
          <w:trHeight w:val="159"/>
        </w:trPr>
        <w:tc>
          <w:tcPr>
            <w:tcW w:w="8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360"/>
              <w:spacing w:after="0" w:line="159" w:lineRule="exact"/>
              <w:rPr>
                <w:sz w:val="20"/>
                <w:szCs w:val="20"/>
                <w:color w:val="auto"/>
              </w:rPr>
            </w:pPr>
            <w:r>
              <w:rPr>
                <w:rFonts w:ascii="Arial" w:cs="Arial" w:eastAsia="Arial" w:hAnsi="Arial"/>
                <w:sz w:val="14"/>
                <w:szCs w:val="14"/>
                <w:b w:val="1"/>
                <w:bCs w:val="1"/>
                <w:color w:val="auto"/>
                <w:w w:val="99"/>
              </w:rPr>
              <w:t>March 31,</w:t>
            </w:r>
          </w:p>
        </w:tc>
        <w:tc>
          <w:tcPr>
            <w:tcW w:w="120" w:type="dxa"/>
            <w:vAlign w:val="bottom"/>
          </w:tcPr>
          <w:p>
            <w:pPr>
              <w:spacing w:after="0"/>
              <w:rPr>
                <w:sz w:val="13"/>
                <w:szCs w:val="13"/>
                <w:color w:val="auto"/>
              </w:rPr>
            </w:pPr>
          </w:p>
        </w:tc>
        <w:tc>
          <w:tcPr>
            <w:tcW w:w="1100" w:type="dxa"/>
            <w:vAlign w:val="bottom"/>
            <w:gridSpan w:val="2"/>
          </w:tcPr>
          <w:p>
            <w:pPr>
              <w:jc w:val="right"/>
              <w:ind w:right="240"/>
              <w:spacing w:after="0" w:line="159" w:lineRule="exact"/>
              <w:rPr>
                <w:sz w:val="20"/>
                <w:szCs w:val="20"/>
                <w:color w:val="auto"/>
              </w:rPr>
            </w:pPr>
            <w:r>
              <w:rPr>
                <w:rFonts w:ascii="Arial" w:cs="Arial" w:eastAsia="Arial" w:hAnsi="Arial"/>
                <w:sz w:val="14"/>
                <w:szCs w:val="14"/>
                <w:b w:val="1"/>
                <w:bCs w:val="1"/>
                <w:color w:val="auto"/>
                <w:w w:val="92"/>
              </w:rPr>
              <w:t>December 31,</w:t>
            </w:r>
          </w:p>
        </w:tc>
      </w:tr>
      <w:tr>
        <w:trPr>
          <w:trHeight w:val="176"/>
        </w:trPr>
        <w:tc>
          <w:tcPr>
            <w:tcW w:w="86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2020</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r>
      <w:tr>
        <w:trPr>
          <w:trHeight w:val="233"/>
        </w:trPr>
        <w:tc>
          <w:tcPr>
            <w:tcW w:w="8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7"/>
                <w:szCs w:val="17"/>
                <w:color w:val="auto"/>
                <w:w w:val="90"/>
              </w:rPr>
              <w:t>(unaudited)</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5"/>
        </w:trPr>
        <w:tc>
          <w:tcPr>
            <w:tcW w:w="8680" w:type="dxa"/>
            <w:vAlign w:val="bottom"/>
          </w:tcPr>
          <w:p>
            <w:pPr>
              <w:spacing w:after="0"/>
              <w:rPr>
                <w:sz w:val="20"/>
                <w:szCs w:val="20"/>
                <w:color w:val="auto"/>
              </w:rPr>
            </w:pPr>
            <w:r>
              <w:rPr>
                <w:rFonts w:ascii="Arial" w:cs="Arial" w:eastAsia="Arial" w:hAnsi="Arial"/>
                <w:sz w:val="17"/>
                <w:szCs w:val="17"/>
                <w:b w:val="1"/>
                <w:bCs w:val="1"/>
                <w:color w:val="auto"/>
              </w:rPr>
              <w:t>Asset</w:t>
            </w:r>
            <w:r>
              <w:rPr>
                <w:rFonts w:ascii="Arial" w:cs="Arial" w:eastAsia="Arial" w:hAnsi="Arial"/>
                <w:sz w:val="17"/>
                <w:szCs w:val="17"/>
                <w:color w:val="auto"/>
              </w:rPr>
              <w:t>s</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8"/>
        </w:trPr>
        <w:tc>
          <w:tcPr>
            <w:tcW w:w="8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27"/>
        </w:trPr>
        <w:tc>
          <w:tcPr>
            <w:tcW w:w="86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Fixed-maturity securities, held-to-maturity, at amortized cost (fair value of $4,136,710 at March 31, 2020 and</w:t>
            </w: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18"/>
        </w:trPr>
        <w:tc>
          <w:tcPr>
            <w:tcW w:w="86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$4,124,767 at December 31, 2019)</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3,826,404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3,825,952</w:t>
            </w:r>
          </w:p>
        </w:tc>
        <w:tc>
          <w:tcPr>
            <w:tcW w:w="120" w:type="dxa"/>
            <w:vAlign w:val="bottom"/>
            <w:shd w:val="clear" w:color="auto" w:fill="CCEEFF"/>
          </w:tcPr>
          <w:p>
            <w:pPr>
              <w:spacing w:after="0"/>
              <w:rPr>
                <w:sz w:val="18"/>
                <w:szCs w:val="18"/>
                <w:color w:val="auto"/>
              </w:rPr>
            </w:pPr>
          </w:p>
        </w:tc>
      </w:tr>
      <w:tr>
        <w:trPr>
          <w:trHeight w:val="227"/>
        </w:trPr>
        <w:tc>
          <w:tcPr>
            <w:tcW w:w="8680" w:type="dxa"/>
            <w:vAlign w:val="bottom"/>
          </w:tcPr>
          <w:p>
            <w:pPr>
              <w:ind w:left="160"/>
              <w:spacing w:after="0"/>
              <w:rPr>
                <w:sz w:val="20"/>
                <w:szCs w:val="20"/>
                <w:color w:val="auto"/>
              </w:rPr>
            </w:pPr>
            <w:r>
              <w:rPr>
                <w:rFonts w:ascii="Arial" w:cs="Arial" w:eastAsia="Arial" w:hAnsi="Arial"/>
                <w:sz w:val="17"/>
                <w:szCs w:val="17"/>
                <w:color w:val="auto"/>
              </w:rPr>
              <w:t>Fixed-maturity securities, available-for-sale, at fair value (amortized cost of $152,675,779 at March 31, 2020 and</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7"/>
        </w:trPr>
        <w:tc>
          <w:tcPr>
            <w:tcW w:w="8680" w:type="dxa"/>
            <w:vAlign w:val="bottom"/>
          </w:tcPr>
          <w:p>
            <w:pPr>
              <w:ind w:left="160"/>
              <w:spacing w:after="0"/>
              <w:rPr>
                <w:sz w:val="20"/>
                <w:szCs w:val="20"/>
                <w:color w:val="auto"/>
              </w:rPr>
            </w:pPr>
            <w:r>
              <w:rPr>
                <w:rFonts w:ascii="Arial" w:cs="Arial" w:eastAsia="Arial" w:hAnsi="Arial"/>
                <w:sz w:val="17"/>
                <w:szCs w:val="17"/>
                <w:color w:val="auto"/>
              </w:rPr>
              <w:t>$162,202,355 at December 31, 2019)</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w w:val="97"/>
              </w:rPr>
              <w:t>151,879,894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w w:val="99"/>
              </w:rPr>
              <w:t>168,236,181</w:t>
            </w:r>
          </w:p>
        </w:tc>
        <w:tc>
          <w:tcPr>
            <w:tcW w:w="120" w:type="dxa"/>
            <w:vAlign w:val="bottom"/>
          </w:tcPr>
          <w:p>
            <w:pPr>
              <w:spacing w:after="0"/>
              <w:rPr>
                <w:sz w:val="18"/>
                <w:szCs w:val="18"/>
                <w:color w:val="auto"/>
              </w:rPr>
            </w:pPr>
          </w:p>
        </w:tc>
      </w:tr>
      <w:tr>
        <w:trPr>
          <w:trHeight w:val="236"/>
        </w:trPr>
        <w:tc>
          <w:tcPr>
            <w:tcW w:w="86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Equity securities, at fair value (cost of $22,430,037 at March 31, 2020 and $22,624,668 at December 31, 2019)</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18,368,893</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24,661,382</w:t>
            </w:r>
          </w:p>
        </w:tc>
        <w:tc>
          <w:tcPr>
            <w:tcW w:w="120" w:type="dxa"/>
            <w:vAlign w:val="bottom"/>
            <w:shd w:val="clear" w:color="auto" w:fill="CCEEFF"/>
          </w:tcPr>
          <w:p>
            <w:pPr>
              <w:spacing w:after="0"/>
              <w:rPr>
                <w:sz w:val="20"/>
                <w:szCs w:val="20"/>
                <w:color w:val="auto"/>
              </w:rPr>
            </w:pPr>
          </w:p>
        </w:tc>
      </w:tr>
      <w:tr>
        <w:trPr>
          <w:trHeight w:val="215"/>
        </w:trPr>
        <w:tc>
          <w:tcPr>
            <w:tcW w:w="8680" w:type="dxa"/>
            <w:vAlign w:val="bottom"/>
          </w:tcPr>
          <w:p>
            <w:pPr>
              <w:ind w:left="160"/>
              <w:spacing w:after="0"/>
              <w:rPr>
                <w:sz w:val="20"/>
                <w:szCs w:val="20"/>
                <w:color w:val="auto"/>
              </w:rPr>
            </w:pPr>
            <w:r>
              <w:rPr>
                <w:rFonts w:ascii="Arial" w:cs="Arial" w:eastAsia="Arial" w:hAnsi="Arial"/>
                <w:sz w:val="17"/>
                <w:szCs w:val="17"/>
                <w:color w:val="auto"/>
              </w:rPr>
              <w:t>Other investments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1,987,522</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2,584,913</w:t>
            </w:r>
          </w:p>
        </w:tc>
        <w:tc>
          <w:tcPr>
            <w:tcW w:w="120" w:type="dxa"/>
            <w:vAlign w:val="bottom"/>
          </w:tcPr>
          <w:p>
            <w:pPr>
              <w:spacing w:after="0"/>
              <w:rPr>
                <w:sz w:val="18"/>
                <w:szCs w:val="18"/>
                <w:color w:val="auto"/>
              </w:rPr>
            </w:pPr>
          </w:p>
        </w:tc>
      </w:tr>
      <w:tr>
        <w:trPr>
          <w:trHeight w:val="209"/>
        </w:trPr>
        <w:tc>
          <w:tcPr>
            <w:tcW w:w="86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investments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176,062,713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199,308,428</w:t>
            </w:r>
          </w:p>
        </w:tc>
        <w:tc>
          <w:tcPr>
            <w:tcW w:w="120" w:type="dxa"/>
            <w:vAlign w:val="bottom"/>
            <w:shd w:val="clear" w:color="auto" w:fill="CCEEFF"/>
          </w:tcPr>
          <w:p>
            <w:pPr>
              <w:spacing w:after="0"/>
              <w:rPr>
                <w:sz w:val="18"/>
                <w:szCs w:val="18"/>
                <w:color w:val="auto"/>
              </w:rPr>
            </w:pPr>
          </w:p>
        </w:tc>
      </w:tr>
      <w:tr>
        <w:trPr>
          <w:trHeight w:val="209"/>
        </w:trPr>
        <w:tc>
          <w:tcPr>
            <w:tcW w:w="8680" w:type="dxa"/>
            <w:vAlign w:val="bottom"/>
          </w:tcPr>
          <w:p>
            <w:pPr>
              <w:ind w:left="160"/>
              <w:spacing w:after="0"/>
              <w:rPr>
                <w:sz w:val="20"/>
                <w:szCs w:val="20"/>
                <w:color w:val="auto"/>
              </w:rPr>
            </w:pPr>
            <w:r>
              <w:rPr>
                <w:rFonts w:ascii="Arial" w:cs="Arial" w:eastAsia="Arial" w:hAnsi="Arial"/>
                <w:sz w:val="17"/>
                <w:szCs w:val="17"/>
                <w:color w:val="auto"/>
              </w:rPr>
              <w:t>Cash and cash equivalents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25,586,789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32,391,485</w:t>
            </w:r>
          </w:p>
        </w:tc>
        <w:tc>
          <w:tcPr>
            <w:tcW w:w="120" w:type="dxa"/>
            <w:vAlign w:val="bottom"/>
          </w:tcPr>
          <w:p>
            <w:pPr>
              <w:spacing w:after="0"/>
              <w:rPr>
                <w:sz w:val="18"/>
                <w:szCs w:val="18"/>
                <w:color w:val="auto"/>
              </w:rPr>
            </w:pPr>
          </w:p>
        </w:tc>
      </w:tr>
      <w:tr>
        <w:trPr>
          <w:trHeight w:val="209"/>
        </w:trPr>
        <w:tc>
          <w:tcPr>
            <w:tcW w:w="86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Premiums receivable, net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11,913,123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12,706,411</w:t>
            </w:r>
          </w:p>
        </w:tc>
        <w:tc>
          <w:tcPr>
            <w:tcW w:w="120" w:type="dxa"/>
            <w:vAlign w:val="bottom"/>
            <w:shd w:val="clear" w:color="auto" w:fill="CCEEFF"/>
          </w:tcPr>
          <w:p>
            <w:pPr>
              <w:spacing w:after="0"/>
              <w:rPr>
                <w:sz w:val="18"/>
                <w:szCs w:val="18"/>
                <w:color w:val="auto"/>
              </w:rPr>
            </w:pPr>
          </w:p>
        </w:tc>
      </w:tr>
      <w:tr>
        <w:trPr>
          <w:trHeight w:val="209"/>
        </w:trPr>
        <w:tc>
          <w:tcPr>
            <w:tcW w:w="8680" w:type="dxa"/>
            <w:vAlign w:val="bottom"/>
          </w:tcPr>
          <w:p>
            <w:pPr>
              <w:ind w:left="160"/>
              <w:spacing w:after="0"/>
              <w:rPr>
                <w:sz w:val="20"/>
                <w:szCs w:val="20"/>
                <w:color w:val="auto"/>
              </w:rPr>
            </w:pPr>
            <w:r>
              <w:rPr>
                <w:rFonts w:ascii="Arial" w:cs="Arial" w:eastAsia="Arial" w:hAnsi="Arial"/>
                <w:sz w:val="17"/>
                <w:szCs w:val="17"/>
                <w:color w:val="auto"/>
              </w:rPr>
              <w:t>Reinsurance receivables, net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42,709,055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40,750,538</w:t>
            </w:r>
          </w:p>
        </w:tc>
        <w:tc>
          <w:tcPr>
            <w:tcW w:w="120" w:type="dxa"/>
            <w:vAlign w:val="bottom"/>
          </w:tcPr>
          <w:p>
            <w:pPr>
              <w:spacing w:after="0"/>
              <w:rPr>
                <w:sz w:val="18"/>
                <w:szCs w:val="18"/>
                <w:color w:val="auto"/>
              </w:rPr>
            </w:pPr>
          </w:p>
        </w:tc>
      </w:tr>
      <w:tr>
        <w:trPr>
          <w:trHeight w:val="209"/>
        </w:trPr>
        <w:tc>
          <w:tcPr>
            <w:tcW w:w="86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Deferred policy acquisition costs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19,571,888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20,634,378</w:t>
            </w:r>
          </w:p>
        </w:tc>
        <w:tc>
          <w:tcPr>
            <w:tcW w:w="120" w:type="dxa"/>
            <w:vAlign w:val="bottom"/>
            <w:shd w:val="clear" w:color="auto" w:fill="CCEEFF"/>
          </w:tcPr>
          <w:p>
            <w:pPr>
              <w:spacing w:after="0"/>
              <w:rPr>
                <w:sz w:val="18"/>
                <w:szCs w:val="18"/>
                <w:color w:val="auto"/>
              </w:rPr>
            </w:pPr>
          </w:p>
        </w:tc>
      </w:tr>
      <w:tr>
        <w:trPr>
          <w:trHeight w:val="209"/>
        </w:trPr>
        <w:tc>
          <w:tcPr>
            <w:tcW w:w="8680" w:type="dxa"/>
            <w:vAlign w:val="bottom"/>
          </w:tcPr>
          <w:p>
            <w:pPr>
              <w:ind w:left="160"/>
              <w:spacing w:after="0"/>
              <w:rPr>
                <w:sz w:val="20"/>
                <w:szCs w:val="20"/>
                <w:color w:val="auto"/>
              </w:rPr>
            </w:pPr>
            <w:r>
              <w:rPr>
                <w:rFonts w:ascii="Arial" w:cs="Arial" w:eastAsia="Arial" w:hAnsi="Arial"/>
                <w:sz w:val="17"/>
                <w:szCs w:val="17"/>
                <w:color w:val="auto"/>
              </w:rPr>
              <w:t>Intangible assets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500,000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500,000</w:t>
            </w:r>
          </w:p>
        </w:tc>
        <w:tc>
          <w:tcPr>
            <w:tcW w:w="120" w:type="dxa"/>
            <w:vAlign w:val="bottom"/>
          </w:tcPr>
          <w:p>
            <w:pPr>
              <w:spacing w:after="0"/>
              <w:rPr>
                <w:sz w:val="18"/>
                <w:szCs w:val="18"/>
                <w:color w:val="auto"/>
              </w:rPr>
            </w:pPr>
          </w:p>
        </w:tc>
      </w:tr>
      <w:tr>
        <w:trPr>
          <w:trHeight w:val="209"/>
        </w:trPr>
        <w:tc>
          <w:tcPr>
            <w:tcW w:w="86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Property and equipment, net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7,365,654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7,620,636</w:t>
            </w:r>
          </w:p>
        </w:tc>
        <w:tc>
          <w:tcPr>
            <w:tcW w:w="120" w:type="dxa"/>
            <w:vAlign w:val="bottom"/>
            <w:shd w:val="clear" w:color="auto" w:fill="CCEEFF"/>
          </w:tcPr>
          <w:p>
            <w:pPr>
              <w:spacing w:after="0"/>
              <w:rPr>
                <w:sz w:val="18"/>
                <w:szCs w:val="18"/>
                <w:color w:val="auto"/>
              </w:rPr>
            </w:pPr>
          </w:p>
        </w:tc>
      </w:tr>
      <w:tr>
        <w:trPr>
          <w:trHeight w:val="209"/>
        </w:trPr>
        <w:tc>
          <w:tcPr>
            <w:tcW w:w="8680" w:type="dxa"/>
            <w:vAlign w:val="bottom"/>
          </w:tcPr>
          <w:p>
            <w:pPr>
              <w:ind w:left="160"/>
              <w:spacing w:after="0"/>
              <w:rPr>
                <w:sz w:val="20"/>
                <w:szCs w:val="20"/>
                <w:color w:val="auto"/>
              </w:rPr>
            </w:pPr>
            <w:r>
              <w:rPr>
                <w:rFonts w:ascii="Arial" w:cs="Arial" w:eastAsia="Arial" w:hAnsi="Arial"/>
                <w:sz w:val="17"/>
                <w:szCs w:val="17"/>
                <w:color w:val="auto"/>
              </w:rPr>
              <w:t>Deferred income taxes, net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1,347,699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311,052</w:t>
            </w:r>
          </w:p>
        </w:tc>
        <w:tc>
          <w:tcPr>
            <w:tcW w:w="120" w:type="dxa"/>
            <w:vAlign w:val="bottom"/>
          </w:tcPr>
          <w:p>
            <w:pPr>
              <w:spacing w:after="0"/>
              <w:rPr>
                <w:sz w:val="18"/>
                <w:szCs w:val="18"/>
                <w:color w:val="auto"/>
              </w:rPr>
            </w:pPr>
          </w:p>
        </w:tc>
      </w:tr>
      <w:tr>
        <w:trPr>
          <w:trHeight w:val="215"/>
        </w:trPr>
        <w:tc>
          <w:tcPr>
            <w:tcW w:w="8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7,477,334</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6,979,884</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8680" w:type="dxa"/>
            <w:vAlign w:val="bottom"/>
          </w:tcPr>
          <w:p>
            <w:pPr>
              <w:spacing w:after="0"/>
              <w:rPr>
                <w:sz w:val="20"/>
                <w:szCs w:val="20"/>
                <w:color w:val="auto"/>
              </w:rPr>
            </w:pPr>
            <w:r>
              <w:rPr>
                <w:rFonts w:ascii="Arial" w:cs="Arial" w:eastAsia="Arial" w:hAnsi="Arial"/>
                <w:sz w:val="17"/>
                <w:szCs w:val="17"/>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292,534,255</w:t>
            </w:r>
          </w:p>
        </w:tc>
        <w:tc>
          <w:tcPr>
            <w:tcW w:w="2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321,202,812</w:t>
            </w:r>
          </w:p>
        </w:tc>
        <w:tc>
          <w:tcPr>
            <w:tcW w:w="120" w:type="dxa"/>
            <w:vAlign w:val="bottom"/>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1"/>
        </w:trPr>
        <w:tc>
          <w:tcPr>
            <w:tcW w:w="8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9"/>
        </w:trPr>
        <w:tc>
          <w:tcPr>
            <w:tcW w:w="8680" w:type="dxa"/>
            <w:vAlign w:val="bottom"/>
          </w:tcPr>
          <w:p>
            <w:pPr>
              <w:spacing w:after="0"/>
              <w:rPr>
                <w:sz w:val="20"/>
                <w:szCs w:val="20"/>
                <w:color w:val="auto"/>
              </w:rPr>
            </w:pPr>
            <w:r>
              <w:rPr>
                <w:rFonts w:ascii="Arial" w:cs="Arial" w:eastAsia="Arial" w:hAnsi="Arial"/>
                <w:sz w:val="17"/>
                <w:szCs w:val="17"/>
                <w:b w:val="1"/>
                <w:bCs w:val="1"/>
                <w:color w:val="auto"/>
              </w:rPr>
              <w:t>Liabilitie</w:t>
            </w:r>
            <w:r>
              <w:rPr>
                <w:rFonts w:ascii="Arial" w:cs="Arial" w:eastAsia="Arial" w:hAnsi="Arial"/>
                <w:sz w:val="17"/>
                <w:szCs w:val="17"/>
                <w:color w:val="auto"/>
              </w:rPr>
              <w:t>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86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Loss and loss adjustment expense reserves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77,851,099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80,498,611</w:t>
            </w:r>
          </w:p>
        </w:tc>
        <w:tc>
          <w:tcPr>
            <w:tcW w:w="120" w:type="dxa"/>
            <w:vAlign w:val="bottom"/>
            <w:shd w:val="clear" w:color="auto" w:fill="CCEEFF"/>
          </w:tcPr>
          <w:p>
            <w:pPr>
              <w:spacing w:after="0"/>
              <w:rPr>
                <w:sz w:val="18"/>
                <w:szCs w:val="18"/>
                <w:color w:val="auto"/>
              </w:rPr>
            </w:pPr>
          </w:p>
        </w:tc>
      </w:tr>
      <w:tr>
        <w:trPr>
          <w:trHeight w:val="209"/>
        </w:trPr>
        <w:tc>
          <w:tcPr>
            <w:tcW w:w="8680" w:type="dxa"/>
            <w:vAlign w:val="bottom"/>
          </w:tcPr>
          <w:p>
            <w:pPr>
              <w:ind w:left="160"/>
              <w:spacing w:after="0"/>
              <w:rPr>
                <w:sz w:val="20"/>
                <w:szCs w:val="20"/>
                <w:color w:val="auto"/>
              </w:rPr>
            </w:pPr>
            <w:r>
              <w:rPr>
                <w:rFonts w:ascii="Arial" w:cs="Arial" w:eastAsia="Arial" w:hAnsi="Arial"/>
                <w:sz w:val="17"/>
                <w:szCs w:val="17"/>
                <w:color w:val="auto"/>
              </w:rPr>
              <w:t>Unearned premiums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84,478,538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90,383,238</w:t>
            </w:r>
          </w:p>
        </w:tc>
        <w:tc>
          <w:tcPr>
            <w:tcW w:w="120" w:type="dxa"/>
            <w:vAlign w:val="bottom"/>
          </w:tcPr>
          <w:p>
            <w:pPr>
              <w:spacing w:after="0"/>
              <w:rPr>
                <w:sz w:val="18"/>
                <w:szCs w:val="18"/>
                <w:color w:val="auto"/>
              </w:rPr>
            </w:pPr>
          </w:p>
        </w:tc>
      </w:tr>
      <w:tr>
        <w:trPr>
          <w:trHeight w:val="209"/>
        </w:trPr>
        <w:tc>
          <w:tcPr>
            <w:tcW w:w="86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Advance premiums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3,143,879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3,191,512</w:t>
            </w:r>
          </w:p>
        </w:tc>
        <w:tc>
          <w:tcPr>
            <w:tcW w:w="120" w:type="dxa"/>
            <w:vAlign w:val="bottom"/>
            <w:shd w:val="clear" w:color="auto" w:fill="CCEEFF"/>
          </w:tcPr>
          <w:p>
            <w:pPr>
              <w:spacing w:after="0"/>
              <w:rPr>
                <w:sz w:val="18"/>
                <w:szCs w:val="18"/>
                <w:color w:val="auto"/>
              </w:rPr>
            </w:pPr>
          </w:p>
        </w:tc>
      </w:tr>
      <w:tr>
        <w:trPr>
          <w:trHeight w:val="209"/>
        </w:trPr>
        <w:tc>
          <w:tcPr>
            <w:tcW w:w="8680" w:type="dxa"/>
            <w:vAlign w:val="bottom"/>
          </w:tcPr>
          <w:p>
            <w:pPr>
              <w:ind w:left="160"/>
              <w:spacing w:after="0"/>
              <w:rPr>
                <w:sz w:val="20"/>
                <w:szCs w:val="20"/>
                <w:color w:val="auto"/>
              </w:rPr>
            </w:pPr>
            <w:r>
              <w:rPr>
                <w:rFonts w:ascii="Arial" w:cs="Arial" w:eastAsia="Arial" w:hAnsi="Arial"/>
                <w:sz w:val="17"/>
                <w:szCs w:val="17"/>
                <w:color w:val="auto"/>
              </w:rPr>
              <w:t>Reinsurance balances payable</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5,337,287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11,714,724</w:t>
            </w:r>
          </w:p>
        </w:tc>
        <w:tc>
          <w:tcPr>
            <w:tcW w:w="120" w:type="dxa"/>
            <w:vAlign w:val="bottom"/>
          </w:tcPr>
          <w:p>
            <w:pPr>
              <w:spacing w:after="0"/>
              <w:rPr>
                <w:sz w:val="18"/>
                <w:szCs w:val="18"/>
                <w:color w:val="auto"/>
              </w:rPr>
            </w:pPr>
          </w:p>
        </w:tc>
      </w:tr>
      <w:tr>
        <w:trPr>
          <w:trHeight w:val="209"/>
        </w:trPr>
        <w:tc>
          <w:tcPr>
            <w:tcW w:w="86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Deferred ceding commission revenue</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6,935,401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7,735,398</w:t>
            </w:r>
          </w:p>
        </w:tc>
        <w:tc>
          <w:tcPr>
            <w:tcW w:w="120" w:type="dxa"/>
            <w:vAlign w:val="bottom"/>
            <w:shd w:val="clear" w:color="auto" w:fill="CCEEFF"/>
          </w:tcPr>
          <w:p>
            <w:pPr>
              <w:spacing w:after="0"/>
              <w:rPr>
                <w:sz w:val="18"/>
                <w:szCs w:val="18"/>
                <w:color w:val="auto"/>
              </w:rPr>
            </w:pPr>
          </w:p>
        </w:tc>
      </w:tr>
      <w:tr>
        <w:trPr>
          <w:trHeight w:val="209"/>
        </w:trPr>
        <w:tc>
          <w:tcPr>
            <w:tcW w:w="8680" w:type="dxa"/>
            <w:vAlign w:val="bottom"/>
          </w:tcPr>
          <w:p>
            <w:pPr>
              <w:ind w:left="160"/>
              <w:spacing w:after="0"/>
              <w:rPr>
                <w:sz w:val="20"/>
                <w:szCs w:val="20"/>
                <w:color w:val="auto"/>
              </w:rPr>
            </w:pPr>
            <w:r>
              <w:rPr>
                <w:rFonts w:ascii="Arial" w:cs="Arial" w:eastAsia="Arial" w:hAnsi="Arial"/>
                <w:sz w:val="17"/>
                <w:szCs w:val="17"/>
                <w:color w:val="auto"/>
              </w:rPr>
              <w:t>Accounts payable, accrued expenses and other liabilities</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8,409,856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9,986,317</w:t>
            </w:r>
          </w:p>
        </w:tc>
        <w:tc>
          <w:tcPr>
            <w:tcW w:w="120" w:type="dxa"/>
            <w:vAlign w:val="bottom"/>
          </w:tcPr>
          <w:p>
            <w:pPr>
              <w:spacing w:after="0"/>
              <w:rPr>
                <w:sz w:val="18"/>
                <w:szCs w:val="18"/>
                <w:color w:val="auto"/>
              </w:rPr>
            </w:pPr>
          </w:p>
        </w:tc>
      </w:tr>
      <w:tr>
        <w:trPr>
          <w:trHeight w:val="215"/>
        </w:trPr>
        <w:tc>
          <w:tcPr>
            <w:tcW w:w="8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Long-term debt, net</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29,515,476</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29,471,431</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5"/>
        </w:trPr>
        <w:tc>
          <w:tcPr>
            <w:tcW w:w="8680" w:type="dxa"/>
            <w:vAlign w:val="bottom"/>
          </w:tcPr>
          <w:p>
            <w:pPr>
              <w:spacing w:after="0"/>
              <w:rPr>
                <w:sz w:val="20"/>
                <w:szCs w:val="20"/>
                <w:color w:val="auto"/>
              </w:rPr>
            </w:pPr>
            <w:r>
              <w:rPr>
                <w:rFonts w:ascii="Arial" w:cs="Arial" w:eastAsia="Arial" w:hAnsi="Arial"/>
                <w:sz w:val="17"/>
                <w:szCs w:val="17"/>
                <w:b w:val="1"/>
                <w:bCs w:val="1"/>
                <w:color w:val="auto"/>
              </w:rPr>
              <w:t>Total liabilitie</w:t>
            </w:r>
            <w:r>
              <w:rPr>
                <w:rFonts w:ascii="Arial" w:cs="Arial" w:eastAsia="Arial" w:hAnsi="Arial"/>
                <w:sz w:val="17"/>
                <w:szCs w:val="17"/>
                <w:color w:val="auto"/>
              </w:rPr>
              <w:t>s</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215,671,536</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232,981,231</w:t>
            </w:r>
          </w:p>
        </w:tc>
        <w:tc>
          <w:tcPr>
            <w:tcW w:w="120" w:type="dxa"/>
            <w:vAlign w:val="bottom"/>
          </w:tcPr>
          <w:p>
            <w:pPr>
              <w:spacing w:after="0"/>
              <w:rPr>
                <w:sz w:val="18"/>
                <w:szCs w:val="18"/>
                <w:color w:val="auto"/>
              </w:rPr>
            </w:pPr>
          </w:p>
        </w:tc>
      </w:tr>
      <w:tr>
        <w:trPr>
          <w:trHeight w:val="209"/>
        </w:trPr>
        <w:tc>
          <w:tcPr>
            <w:tcW w:w="8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9"/>
        </w:trPr>
        <w:tc>
          <w:tcPr>
            <w:tcW w:w="8680" w:type="dxa"/>
            <w:vAlign w:val="bottom"/>
          </w:tcPr>
          <w:p>
            <w:pPr>
              <w:spacing w:after="0"/>
              <w:rPr>
                <w:sz w:val="20"/>
                <w:szCs w:val="20"/>
                <w:color w:val="auto"/>
              </w:rPr>
            </w:pPr>
            <w:r>
              <w:rPr>
                <w:rFonts w:ascii="Arial" w:cs="Arial" w:eastAsia="Arial" w:hAnsi="Arial"/>
                <w:sz w:val="17"/>
                <w:szCs w:val="17"/>
                <w:b w:val="1"/>
                <w:bCs w:val="1"/>
                <w:color w:val="auto"/>
              </w:rPr>
              <w:t>Commitments and Contingencies (Note 11)</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8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9"/>
        </w:trPr>
        <w:tc>
          <w:tcPr>
            <w:tcW w:w="8680" w:type="dxa"/>
            <w:vAlign w:val="bottom"/>
          </w:tcPr>
          <w:p>
            <w:pPr>
              <w:spacing w:after="0"/>
              <w:rPr>
                <w:sz w:val="20"/>
                <w:szCs w:val="20"/>
                <w:color w:val="auto"/>
              </w:rPr>
            </w:pPr>
            <w:r>
              <w:rPr>
                <w:rFonts w:ascii="Arial" w:cs="Arial" w:eastAsia="Arial" w:hAnsi="Arial"/>
                <w:sz w:val="17"/>
                <w:szCs w:val="17"/>
                <w:b w:val="1"/>
                <w:bCs w:val="1"/>
                <w:color w:val="auto"/>
              </w:rPr>
              <w:t>Stockholders' Equity</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86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Preferred stock, $.01 par value; authorized 2,500,000 shares</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r>
      <w:tr>
        <w:trPr>
          <w:trHeight w:val="201"/>
        </w:trPr>
        <w:tc>
          <w:tcPr>
            <w:tcW w:w="8680" w:type="dxa"/>
            <w:vAlign w:val="bottom"/>
          </w:tcPr>
          <w:p>
            <w:pPr>
              <w:ind w:left="160"/>
              <w:spacing w:after="0"/>
              <w:rPr>
                <w:sz w:val="20"/>
                <w:szCs w:val="20"/>
                <w:color w:val="auto"/>
              </w:rPr>
            </w:pPr>
            <w:r>
              <w:rPr>
                <w:rFonts w:ascii="Arial" w:cs="Arial" w:eastAsia="Arial" w:hAnsi="Arial"/>
                <w:sz w:val="17"/>
                <w:szCs w:val="17"/>
                <w:color w:val="auto"/>
                <w:w w:val="91"/>
              </w:rPr>
              <w:t>Common stock, $.01 par value; authorized 20,000,000 shares; issued 11,851,266 shares at March 31, 2020 and 11,824,889</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7"/>
        </w:trPr>
        <w:tc>
          <w:tcPr>
            <w:tcW w:w="8680" w:type="dxa"/>
            <w:vAlign w:val="bottom"/>
          </w:tcPr>
          <w:p>
            <w:pPr>
              <w:ind w:left="160"/>
              <w:spacing w:after="0"/>
              <w:rPr>
                <w:sz w:val="20"/>
                <w:szCs w:val="20"/>
                <w:color w:val="auto"/>
              </w:rPr>
            </w:pPr>
            <w:r>
              <w:rPr>
                <w:rFonts w:ascii="Arial" w:cs="Arial" w:eastAsia="Arial" w:hAnsi="Arial"/>
                <w:sz w:val="17"/>
                <w:szCs w:val="17"/>
                <w:color w:val="auto"/>
                <w:w w:val="93"/>
              </w:rPr>
              <w:t>at December 31, 2019; outstanding 10,781,393 shares at March 31, 2020 and 10,797,450 shares at December 31, 2019</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118,512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118,248</w:t>
            </w:r>
          </w:p>
        </w:tc>
        <w:tc>
          <w:tcPr>
            <w:tcW w:w="120" w:type="dxa"/>
            <w:vAlign w:val="bottom"/>
          </w:tcPr>
          <w:p>
            <w:pPr>
              <w:spacing w:after="0"/>
              <w:rPr>
                <w:sz w:val="18"/>
                <w:szCs w:val="18"/>
                <w:color w:val="auto"/>
              </w:rPr>
            </w:pPr>
          </w:p>
        </w:tc>
      </w:tr>
      <w:tr>
        <w:trPr>
          <w:trHeight w:val="210"/>
        </w:trPr>
        <w:tc>
          <w:tcPr>
            <w:tcW w:w="86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Capital in excess of par</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69,533,150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69,133,918</w:t>
            </w:r>
          </w:p>
        </w:tc>
        <w:tc>
          <w:tcPr>
            <w:tcW w:w="120" w:type="dxa"/>
            <w:vAlign w:val="bottom"/>
            <w:shd w:val="clear" w:color="auto" w:fill="CCEEFF"/>
          </w:tcPr>
          <w:p>
            <w:pPr>
              <w:spacing w:after="0"/>
              <w:rPr>
                <w:sz w:val="18"/>
                <w:szCs w:val="18"/>
                <w:color w:val="auto"/>
              </w:rPr>
            </w:pPr>
          </w:p>
        </w:tc>
      </w:tr>
      <w:tr>
        <w:trPr>
          <w:trHeight w:val="209"/>
        </w:trPr>
        <w:tc>
          <w:tcPr>
            <w:tcW w:w="8680" w:type="dxa"/>
            <w:vAlign w:val="bottom"/>
          </w:tcPr>
          <w:p>
            <w:pPr>
              <w:ind w:left="160"/>
              <w:spacing w:after="0"/>
              <w:rPr>
                <w:sz w:val="20"/>
                <w:szCs w:val="20"/>
                <w:color w:val="auto"/>
              </w:rPr>
            </w:pPr>
            <w:r>
              <w:rPr>
                <w:rFonts w:ascii="Arial" w:cs="Arial" w:eastAsia="Arial" w:hAnsi="Arial"/>
                <w:sz w:val="17"/>
                <w:szCs w:val="17"/>
                <w:color w:val="auto"/>
              </w:rPr>
              <w:t>Accumulated other comprehensive (loss) income</w:t>
            </w: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7"/>
                <w:szCs w:val="17"/>
                <w:color w:val="auto"/>
              </w:rPr>
              <w:t>(626,601)</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4,768,870</w:t>
            </w:r>
          </w:p>
        </w:tc>
        <w:tc>
          <w:tcPr>
            <w:tcW w:w="120" w:type="dxa"/>
            <w:vAlign w:val="bottom"/>
          </w:tcPr>
          <w:p>
            <w:pPr>
              <w:spacing w:after="0"/>
              <w:rPr>
                <w:sz w:val="18"/>
                <w:szCs w:val="18"/>
                <w:color w:val="auto"/>
              </w:rPr>
            </w:pPr>
          </w:p>
        </w:tc>
      </w:tr>
      <w:tr>
        <w:trPr>
          <w:trHeight w:val="215"/>
        </w:trPr>
        <w:tc>
          <w:tcPr>
            <w:tcW w:w="8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Retained earnings</w:t>
            </w:r>
          </w:p>
        </w:tc>
        <w:tc>
          <w:tcPr>
            <w:tcW w:w="1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10,792,934</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16,913,097</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79,817,995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90,934,133</w:t>
            </w:r>
          </w:p>
        </w:tc>
        <w:tc>
          <w:tcPr>
            <w:tcW w:w="120" w:type="dxa"/>
            <w:vAlign w:val="bottom"/>
          </w:tcPr>
          <w:p>
            <w:pPr>
              <w:spacing w:after="0"/>
              <w:rPr>
                <w:sz w:val="18"/>
                <w:szCs w:val="18"/>
                <w:color w:val="auto"/>
              </w:rPr>
            </w:pPr>
          </w:p>
        </w:tc>
      </w:tr>
      <w:tr>
        <w:trPr>
          <w:trHeight w:val="241"/>
        </w:trPr>
        <w:tc>
          <w:tcPr>
            <w:tcW w:w="86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Treasury stock, at cost, 1,069,873 shares at March 31, 2020 and 1,027,439 shares at December 31, 2019</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(2,955,276)</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(2,712,552)</w:t>
            </w:r>
          </w:p>
        </w:tc>
      </w:tr>
      <w:tr>
        <w:trPr>
          <w:trHeight w:val="215"/>
        </w:trPr>
        <w:tc>
          <w:tcPr>
            <w:tcW w:w="8680" w:type="dxa"/>
            <w:vAlign w:val="bottom"/>
            <w:tcBorders>
              <w:top w:val="single" w:sz="8" w:color="CCEEFF"/>
            </w:tcBorders>
          </w:tcPr>
          <w:p>
            <w:pPr>
              <w:spacing w:after="0"/>
              <w:rPr>
                <w:sz w:val="20"/>
                <w:szCs w:val="20"/>
                <w:color w:val="auto"/>
              </w:rPr>
            </w:pPr>
            <w:r>
              <w:rPr>
                <w:rFonts w:ascii="Arial" w:cs="Arial" w:eastAsia="Arial" w:hAnsi="Arial"/>
                <w:sz w:val="17"/>
                <w:szCs w:val="17"/>
                <w:b w:val="1"/>
                <w:bCs w:val="1"/>
                <w:color w:val="auto"/>
              </w:rPr>
              <w:t>Total stockholders' equity</w:t>
            </w: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76,862,719</w:t>
            </w: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88,221,581</w:t>
            </w:r>
          </w:p>
        </w:tc>
        <w:tc>
          <w:tcPr>
            <w:tcW w:w="120" w:type="dxa"/>
            <w:vAlign w:val="bottom"/>
            <w:tcBorders>
              <w:top w:val="single" w:sz="8" w:color="CCEEFF"/>
            </w:tcBorders>
          </w:tcPr>
          <w:p>
            <w:pPr>
              <w:spacing w:after="0"/>
              <w:rPr>
                <w:sz w:val="18"/>
                <w:szCs w:val="18"/>
                <w:color w:val="auto"/>
              </w:rPr>
            </w:pPr>
          </w:p>
        </w:tc>
      </w:tr>
      <w:tr>
        <w:trPr>
          <w:trHeight w:val="209"/>
        </w:trPr>
        <w:tc>
          <w:tcPr>
            <w:tcW w:w="8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9"/>
        </w:trPr>
        <w:tc>
          <w:tcPr>
            <w:tcW w:w="8680" w:type="dxa"/>
            <w:vAlign w:val="bottom"/>
          </w:tcPr>
          <w:p>
            <w:pPr>
              <w:spacing w:after="0"/>
              <w:rPr>
                <w:sz w:val="20"/>
                <w:szCs w:val="20"/>
                <w:color w:val="auto"/>
              </w:rPr>
            </w:pPr>
            <w:r>
              <w:rPr>
                <w:rFonts w:ascii="Arial" w:cs="Arial" w:eastAsia="Arial" w:hAnsi="Arial"/>
                <w:sz w:val="17"/>
                <w:szCs w:val="17"/>
                <w:b w:val="1"/>
                <w:bCs w:val="1"/>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292,534,255</w:t>
            </w:r>
          </w:p>
        </w:tc>
        <w:tc>
          <w:tcPr>
            <w:tcW w:w="2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321,202,812</w:t>
            </w:r>
          </w:p>
        </w:tc>
        <w:tc>
          <w:tcPr>
            <w:tcW w:w="120" w:type="dxa"/>
            <w:vAlign w:val="bottom"/>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9"/>
        </w:trPr>
        <w:tc>
          <w:tcPr>
            <w:tcW w:w="8680" w:type="dxa"/>
            <w:vAlign w:val="bottom"/>
          </w:tcPr>
          <w:p>
            <w:pPr>
              <w:ind w:left="3540"/>
              <w:spacing w:after="0"/>
              <w:rPr>
                <w:sz w:val="20"/>
                <w:szCs w:val="20"/>
                <w:color w:val="auto"/>
              </w:rPr>
            </w:pPr>
            <w:r>
              <w:rPr>
                <w:rFonts w:ascii="Arial" w:cs="Arial" w:eastAsia="Arial" w:hAnsi="Arial"/>
                <w:sz w:val="17"/>
                <w:szCs w:val="17"/>
                <w:b w:val="1"/>
                <w:bCs w:val="1"/>
                <w:color w:val="auto"/>
              </w:rPr>
              <w:t>KINGSTONE COMPANIES, INC. AND SUBSIDIARIES</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8680" w:type="dxa"/>
            <w:vAlign w:val="bottom"/>
          </w:tcPr>
          <w:p>
            <w:pPr>
              <w:spacing w:after="0"/>
              <w:rPr>
                <w:sz w:val="20"/>
                <w:szCs w:val="20"/>
                <w:color w:val="auto"/>
              </w:rPr>
            </w:pPr>
            <w:r>
              <w:rPr>
                <w:rFonts w:ascii="Arial" w:cs="Arial" w:eastAsia="Arial" w:hAnsi="Arial"/>
                <w:sz w:val="17"/>
                <w:szCs w:val="17"/>
                <w:b w:val="1"/>
                <w:bCs w:val="1"/>
                <w:color w:val="auto"/>
              </w:rPr>
              <w:t>Condensed Consolidated Statements of Operations and Comprehensive Loss (Unaudited)</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680" w:type="dxa"/>
            <w:vAlign w:val="bottom"/>
          </w:tcPr>
          <w:p>
            <w:pPr>
              <w:spacing w:after="0"/>
              <w:rPr>
                <w:sz w:val="20"/>
                <w:szCs w:val="20"/>
                <w:color w:val="auto"/>
              </w:rPr>
            </w:pPr>
            <w:r>
              <w:rPr>
                <w:rFonts w:ascii="Arial" w:cs="Arial" w:eastAsia="Arial" w:hAnsi="Arial"/>
                <w:sz w:val="17"/>
                <w:szCs w:val="17"/>
                <w:i w:val="1"/>
                <w:iCs w:val="1"/>
                <w:color w:val="auto"/>
              </w:rPr>
              <w:t>Three months ended March 31,</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9"/>
        </w:trPr>
        <w:tc>
          <w:tcPr>
            <w:tcW w:w="8680" w:type="dxa"/>
            <w:vAlign w:val="bottom"/>
          </w:tcPr>
          <w:p>
            <w:pPr>
              <w:ind w:left="40"/>
              <w:spacing w:after="0"/>
              <w:rPr>
                <w:sz w:val="20"/>
                <w:szCs w:val="20"/>
                <w:color w:val="auto"/>
              </w:rPr>
            </w:pPr>
            <w:r>
              <w:rPr>
                <w:rFonts w:ascii="Arial" w:cs="Arial" w:eastAsia="Arial" w:hAnsi="Arial"/>
                <w:sz w:val="17"/>
                <w:szCs w:val="17"/>
                <w:b w:val="1"/>
                <w:bCs w:val="1"/>
                <w:color w:val="auto"/>
              </w:rPr>
              <w:t>Revenue</w:t>
            </w:r>
            <w:r>
              <w:rPr>
                <w:rFonts w:ascii="Arial" w:cs="Arial" w:eastAsia="Arial" w:hAnsi="Arial"/>
                <w:sz w:val="17"/>
                <w:szCs w:val="17"/>
                <w:color w:val="auto"/>
              </w:rPr>
              <w:t>s</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premiums earned</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26,941,450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29,595,889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Pr>
          <w:p>
            <w:pPr>
              <w:ind w:left="200"/>
              <w:spacing w:after="0"/>
              <w:rPr>
                <w:sz w:val="20"/>
                <w:szCs w:val="20"/>
                <w:color w:val="auto"/>
              </w:rPr>
            </w:pPr>
            <w:r>
              <w:rPr>
                <w:rFonts w:ascii="Arial" w:cs="Arial" w:eastAsia="Arial" w:hAnsi="Arial"/>
                <w:sz w:val="17"/>
                <w:szCs w:val="17"/>
                <w:color w:val="auto"/>
              </w:rPr>
              <w:t>Ceding commission revenue</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3,831,099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1,277,683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investment income</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1,665,844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1,623,712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Pr>
          <w:p>
            <w:pPr>
              <w:ind w:left="200"/>
              <w:spacing w:after="0"/>
              <w:rPr>
                <w:sz w:val="20"/>
                <w:szCs w:val="20"/>
                <w:color w:val="auto"/>
              </w:rPr>
            </w:pPr>
            <w:r>
              <w:rPr>
                <w:rFonts w:ascii="Arial" w:cs="Arial" w:eastAsia="Arial" w:hAnsi="Arial"/>
                <w:sz w:val="17"/>
                <w:szCs w:val="17"/>
                <w:color w:val="auto"/>
              </w:rPr>
              <w:t>Net (losses) gains on investments</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(6,444,418)</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2,035,363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Other income</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629,619</w:t>
            </w:r>
          </w:p>
        </w:tc>
        <w:tc>
          <w:tcPr>
            <w:tcW w:w="2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365,901</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80" w:type="dxa"/>
            <w:vAlign w:val="bottom"/>
          </w:tcPr>
          <w:p>
            <w:pPr>
              <w:ind w:left="360"/>
              <w:spacing w:after="0"/>
              <w:rPr>
                <w:sz w:val="20"/>
                <w:szCs w:val="20"/>
                <w:color w:val="auto"/>
              </w:rPr>
            </w:pPr>
            <w:r>
              <w:rPr>
                <w:rFonts w:ascii="Arial" w:cs="Arial" w:eastAsia="Arial" w:hAnsi="Arial"/>
                <w:sz w:val="17"/>
                <w:szCs w:val="17"/>
                <w:color w:val="auto"/>
              </w:rPr>
              <w:t>Total revenues</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26,623,594</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34,898,548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Pr>
          <w:p>
            <w:pPr>
              <w:ind w:left="40"/>
              <w:spacing w:after="0"/>
              <w:rPr>
                <w:sz w:val="20"/>
                <w:szCs w:val="20"/>
                <w:color w:val="auto"/>
              </w:rPr>
            </w:pPr>
            <w:r>
              <w:rPr>
                <w:rFonts w:ascii="Arial" w:cs="Arial" w:eastAsia="Arial" w:hAnsi="Arial"/>
                <w:sz w:val="17"/>
                <w:szCs w:val="17"/>
                <w:b w:val="1"/>
                <w:bCs w:val="1"/>
                <w:color w:val="auto"/>
              </w:rPr>
              <w:t>Expense</w:t>
            </w:r>
            <w:r>
              <w:rPr>
                <w:rFonts w:ascii="Arial" w:cs="Arial" w:eastAsia="Arial" w:hAnsi="Arial"/>
                <w:sz w:val="17"/>
                <w:szCs w:val="17"/>
                <w:color w:val="auto"/>
              </w:rPr>
              <w:t>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Loss and loss adjustment expenses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16,385,821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29,134,224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Pr>
          <w:p>
            <w:pPr>
              <w:ind w:left="200"/>
              <w:spacing w:after="0"/>
              <w:rPr>
                <w:sz w:val="20"/>
                <w:szCs w:val="20"/>
                <w:color w:val="auto"/>
              </w:rPr>
            </w:pPr>
            <w:r>
              <w:rPr>
                <w:rFonts w:ascii="Arial" w:cs="Arial" w:eastAsia="Arial" w:hAnsi="Arial"/>
                <w:sz w:val="17"/>
                <w:szCs w:val="17"/>
                <w:color w:val="auto"/>
              </w:rPr>
              <w:t>Commission expense</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7,899,191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6,853,416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 underwriting expenses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6,761,792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6,135,991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Pr>
          <w:p>
            <w:pPr>
              <w:ind w:left="200"/>
              <w:spacing w:after="0"/>
              <w:rPr>
                <w:sz w:val="20"/>
                <w:szCs w:val="20"/>
                <w:color w:val="auto"/>
              </w:rPr>
            </w:pPr>
            <w:r>
              <w:rPr>
                <w:rFonts w:ascii="Arial" w:cs="Arial" w:eastAsia="Arial" w:hAnsi="Arial"/>
                <w:sz w:val="17"/>
                <w:szCs w:val="17"/>
                <w:color w:val="auto"/>
              </w:rPr>
              <w:t>Other operating expenses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1,563,620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971,172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Depreciation and amortization</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687,094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602,332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80" w:type="dxa"/>
            <w:vAlign w:val="bottom"/>
          </w:tcPr>
          <w:p>
            <w:pPr>
              <w:ind w:left="200"/>
              <w:spacing w:after="0"/>
              <w:rPr>
                <w:sz w:val="20"/>
                <w:szCs w:val="20"/>
                <w:color w:val="auto"/>
              </w:rPr>
            </w:pPr>
            <w:r>
              <w:rPr>
                <w:rFonts w:ascii="Arial" w:cs="Arial" w:eastAsia="Arial" w:hAnsi="Arial"/>
                <w:sz w:val="17"/>
                <w:szCs w:val="17"/>
                <w:color w:val="auto"/>
              </w:rPr>
              <w:t>Interest expense</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456,545</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456,545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expenses</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33,754,063</w:t>
            </w:r>
          </w:p>
        </w:tc>
        <w:tc>
          <w:tcPr>
            <w:tcW w:w="2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44,153,680</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Loss from operations before income taxes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(7,130,469)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(9,255,132)</w:t>
            </w:r>
          </w:p>
        </w:tc>
        <w:tc>
          <w:tcPr>
            <w:tcW w:w="0" w:type="dxa"/>
            <w:vAlign w:val="bottom"/>
          </w:tcPr>
          <w:p>
            <w:pPr>
              <w:spacing w:after="0"/>
              <w:rPr>
                <w:sz w:val="1"/>
                <w:szCs w:val="1"/>
                <w:color w:val="auto"/>
              </w:rPr>
            </w:pPr>
          </w:p>
        </w:tc>
      </w:tr>
      <w:tr>
        <w:trPr>
          <w:trHeight w:val="209"/>
        </w:trPr>
        <w:tc>
          <w:tcPr>
            <w:tcW w:w="8680" w:type="dxa"/>
            <w:vAlign w:val="bottom"/>
          </w:tcPr>
          <w:p>
            <w:pPr>
              <w:ind w:left="200"/>
              <w:spacing w:after="0"/>
              <w:rPr>
                <w:sz w:val="20"/>
                <w:szCs w:val="20"/>
                <w:color w:val="auto"/>
              </w:rPr>
            </w:pPr>
            <w:r>
              <w:rPr>
                <w:rFonts w:ascii="Arial" w:cs="Arial" w:eastAsia="Arial" w:hAnsi="Arial"/>
                <w:sz w:val="17"/>
                <w:szCs w:val="17"/>
                <w:color w:val="auto"/>
              </w:rPr>
              <w:t>Income tax benefit</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(1,686,266)</w:t>
            </w: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(1,919,942)</w:t>
            </w:r>
          </w:p>
        </w:tc>
        <w:tc>
          <w:tcPr>
            <w:tcW w:w="0" w:type="dxa"/>
            <w:vAlign w:val="bottom"/>
          </w:tcPr>
          <w:p>
            <w:pPr>
              <w:spacing w:after="0"/>
              <w:rPr>
                <w:sz w:val="1"/>
                <w:szCs w:val="1"/>
                <w:color w:val="auto"/>
              </w:rPr>
            </w:pPr>
          </w:p>
        </w:tc>
      </w:tr>
      <w:tr>
        <w:trPr>
          <w:trHeight w:val="26"/>
        </w:trPr>
        <w:tc>
          <w:tcPr>
            <w:tcW w:w="8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868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Net loss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(5,444,203)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(7,335,190)</w:t>
            </w:r>
          </w:p>
        </w:tc>
        <w:tc>
          <w:tcPr>
            <w:tcW w:w="0" w:type="dxa"/>
            <w:vAlign w:val="bottom"/>
          </w:tcPr>
          <w:p>
            <w:pPr>
              <w:spacing w:after="0"/>
              <w:rPr>
                <w:sz w:val="1"/>
                <w:szCs w:val="1"/>
                <w:color w:val="auto"/>
              </w:rPr>
            </w:pPr>
          </w:p>
        </w:tc>
      </w:tr>
      <w:tr>
        <w:trPr>
          <w:trHeight w:val="209"/>
        </w:trPr>
        <w:tc>
          <w:tcPr>
            <w:tcW w:w="86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Other comprehensive (loss) income, net of tax</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Pr>
          <w:p>
            <w:pPr>
              <w:ind w:left="200"/>
              <w:spacing w:after="0"/>
              <w:rPr>
                <w:sz w:val="20"/>
                <w:szCs w:val="20"/>
                <w:color w:val="auto"/>
              </w:rPr>
            </w:pPr>
            <w:r>
              <w:rPr>
                <w:rFonts w:ascii="Arial" w:cs="Arial" w:eastAsia="Arial" w:hAnsi="Arial"/>
                <w:sz w:val="17"/>
                <w:szCs w:val="17"/>
                <w:color w:val="auto"/>
              </w:rPr>
              <w:t>Gross change in unrealized (losses) gains on available-for-sale-securities</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(6,727,489)</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4,188,716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220"/>
              <w:spacing w:after="0"/>
              <w:rPr>
                <w:sz w:val="20"/>
                <w:szCs w:val="20"/>
                <w:color w:val="auto"/>
              </w:rPr>
            </w:pPr>
            <w:r>
              <w:rPr>
                <w:rFonts w:ascii="Arial" w:cs="Arial" w:eastAsia="Arial" w:hAnsi="Arial"/>
                <w:sz w:val="17"/>
                <w:szCs w:val="17"/>
                <w:color w:val="auto"/>
              </w:rPr>
              <w:t>Reclassification adjustment for (gains) losses included in net loss</w:t>
            </w: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(102,222)</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22,431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change in unrealized (losses) gains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(6,829,711)</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4,211,147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8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Income tax benefit (expense) related to items of other comprehensive (loss) income</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1,434,240</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(884,341)</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8680" w:type="dxa"/>
            <w:vAlign w:val="bottom"/>
          </w:tcPr>
          <w:p>
            <w:pPr>
              <w:ind w:left="40"/>
              <w:spacing w:after="0"/>
              <w:rPr>
                <w:sz w:val="20"/>
                <w:szCs w:val="20"/>
                <w:color w:val="auto"/>
              </w:rPr>
            </w:pPr>
            <w:r>
              <w:rPr>
                <w:rFonts w:ascii="Arial" w:cs="Arial" w:eastAsia="Arial" w:hAnsi="Arial"/>
                <w:sz w:val="17"/>
                <w:szCs w:val="17"/>
                <w:b w:val="1"/>
                <w:bCs w:val="1"/>
                <w:color w:val="auto"/>
              </w:rPr>
              <w:t>Other comprehensive (loss) income, net of tax</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(5,395,471)</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3,326,806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Pr>
          <w:p>
            <w:pPr>
              <w:ind w:left="40"/>
              <w:spacing w:after="0"/>
              <w:rPr>
                <w:sz w:val="20"/>
                <w:szCs w:val="20"/>
                <w:color w:val="auto"/>
              </w:rPr>
            </w:pPr>
            <w:r>
              <w:rPr>
                <w:rFonts w:ascii="Arial" w:cs="Arial" w:eastAsia="Arial" w:hAnsi="Arial"/>
                <w:sz w:val="17"/>
                <w:szCs w:val="17"/>
                <w:b w:val="1"/>
                <w:bCs w:val="1"/>
                <w:color w:val="auto"/>
              </w:rPr>
              <w:t>Comprehensive loss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w w:val="97"/>
              </w:rPr>
              <w:t>(10,839,674)</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(4,008,384)</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680" w:type="dxa"/>
            <w:vAlign w:val="bottom"/>
          </w:tcPr>
          <w:p>
            <w:pPr>
              <w:spacing w:after="0"/>
              <w:rPr>
                <w:sz w:val="20"/>
                <w:szCs w:val="20"/>
                <w:color w:val="auto"/>
              </w:rPr>
            </w:pPr>
            <w:r>
              <w:rPr>
                <w:rFonts w:ascii="Arial" w:cs="Arial" w:eastAsia="Arial" w:hAnsi="Arial"/>
                <w:sz w:val="17"/>
                <w:szCs w:val="17"/>
                <w:b w:val="1"/>
                <w:bCs w:val="1"/>
                <w:color w:val="auto"/>
              </w:rPr>
              <w:t>Loss per common share:</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Basic</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(0.50)</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(0.68)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680" w:type="dxa"/>
            <w:vAlign w:val="bottom"/>
          </w:tcPr>
          <w:p>
            <w:pPr>
              <w:ind w:left="160"/>
              <w:spacing w:after="0"/>
              <w:rPr>
                <w:sz w:val="20"/>
                <w:szCs w:val="20"/>
                <w:color w:val="auto"/>
              </w:rPr>
            </w:pPr>
            <w:r>
              <w:rPr>
                <w:rFonts w:ascii="Arial" w:cs="Arial" w:eastAsia="Arial" w:hAnsi="Arial"/>
                <w:sz w:val="17"/>
                <w:szCs w:val="17"/>
                <w:color w:val="auto"/>
              </w:rPr>
              <w:t>Diluted</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(0.50)</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(0.68)</w:t>
            </w: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680" w:type="dxa"/>
            <w:vAlign w:val="bottom"/>
          </w:tcPr>
          <w:p>
            <w:pPr>
              <w:spacing w:after="0"/>
              <w:rPr>
                <w:sz w:val="20"/>
                <w:szCs w:val="20"/>
                <w:color w:val="auto"/>
              </w:rPr>
            </w:pPr>
            <w:r>
              <w:rPr>
                <w:rFonts w:ascii="Arial" w:cs="Arial" w:eastAsia="Arial" w:hAnsi="Arial"/>
                <w:sz w:val="17"/>
                <w:szCs w:val="17"/>
                <w:b w:val="1"/>
                <w:bCs w:val="1"/>
                <w:color w:val="auto"/>
              </w:rPr>
              <w:t>Weighted average common shares outstanding</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Basic</w:t>
            </w:r>
          </w:p>
        </w:tc>
        <w:tc>
          <w:tcPr>
            <w:tcW w:w="1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10,807,841</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10,757,843</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8680" w:type="dxa"/>
            <w:vAlign w:val="bottom"/>
          </w:tcPr>
          <w:p>
            <w:pPr>
              <w:ind w:left="160"/>
              <w:spacing w:after="0"/>
              <w:rPr>
                <w:sz w:val="20"/>
                <w:szCs w:val="20"/>
                <w:color w:val="auto"/>
              </w:rPr>
            </w:pPr>
            <w:r>
              <w:rPr>
                <w:rFonts w:ascii="Arial" w:cs="Arial" w:eastAsia="Arial" w:hAnsi="Arial"/>
                <w:sz w:val="17"/>
                <w:szCs w:val="17"/>
                <w:color w:val="auto"/>
              </w:rPr>
              <w:t>Diluted</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10,807,841</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10,757,843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680" w:type="dxa"/>
            <w:vAlign w:val="bottom"/>
          </w:tcPr>
          <w:p>
            <w:pPr>
              <w:spacing w:after="0"/>
              <w:rPr>
                <w:sz w:val="20"/>
                <w:szCs w:val="20"/>
                <w:color w:val="auto"/>
              </w:rPr>
            </w:pPr>
            <w:r>
              <w:rPr>
                <w:rFonts w:ascii="Arial" w:cs="Arial" w:eastAsia="Arial" w:hAnsi="Arial"/>
                <w:sz w:val="17"/>
                <w:szCs w:val="17"/>
                <w:b w:val="1"/>
                <w:bCs w:val="1"/>
                <w:color w:val="auto"/>
              </w:rPr>
              <w:t>Dividends declared and paid per common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0.0625</w:t>
            </w:r>
          </w:p>
        </w:tc>
        <w:tc>
          <w:tcPr>
            <w:tcW w:w="260" w:type="dxa"/>
            <w:vAlign w:val="bottom"/>
          </w:tcPr>
          <w:p>
            <w:pPr>
              <w:spacing w:after="0"/>
              <w:rPr>
                <w:sz w:val="18"/>
                <w:szCs w:val="18"/>
                <w:color w:val="auto"/>
              </w:rPr>
            </w:pP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0.1000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86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tcPr>
          <w:p>
            <w:pPr>
              <w:ind w:left="5580"/>
              <w:spacing w:after="0"/>
              <w:rPr>
                <w:sz w:val="20"/>
                <w:szCs w:val="20"/>
                <w:color w:val="auto"/>
              </w:rPr>
            </w:pPr>
            <w:r>
              <w:rPr>
                <w:rFonts w:ascii="Arial" w:cs="Arial" w:eastAsia="Arial" w:hAnsi="Arial"/>
                <w:sz w:val="17"/>
                <w:szCs w:val="17"/>
                <w:color w:val="auto"/>
              </w:rPr>
              <w:t>3</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19" w:right="339" w:bottom="1440" w:gutter="0" w:footer="0" w:header="0"/>
        </w:sectPr>
      </w:pPr>
    </w:p>
    <w:bookmarkStart w:id="5" w:name="page6"/>
    <w:bookmarkEnd w:id="5"/>
    <w:p>
      <w:pPr>
        <w:ind w:left="3540"/>
        <w:spacing w:after="0"/>
        <w:rPr>
          <w:sz w:val="20"/>
          <w:szCs w:val="20"/>
          <w:color w:val="auto"/>
        </w:rPr>
      </w:pPr>
      <w:r>
        <w:rPr>
          <w:rFonts w:ascii="Arial" w:cs="Arial" w:eastAsia="Arial" w:hAnsi="Arial"/>
          <w:sz w:val="17"/>
          <w:szCs w:val="17"/>
          <w:b w:val="1"/>
          <w:bCs w:val="1"/>
          <w:color w:val="auto"/>
        </w:rPr>
        <w:t>KINGSTONE COMPANIES, INC. AND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Statements of Stockholders' Equity (Unaudited)</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Three months ended March 31, 2020 and 2019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4"/>
          </w:tcPr>
          <w:p>
            <w:pPr>
              <w:ind w:left="10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vMerge w:val="restart"/>
          </w:tcPr>
          <w:p>
            <w:pPr>
              <w:jc w:val="right"/>
              <w:ind w:right="52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5"/>
          </w:tcPr>
          <w:p>
            <w:pPr>
              <w:jc w:val="right"/>
              <w:ind w:right="248"/>
              <w:spacing w:after="0"/>
              <w:rPr>
                <w:sz w:val="20"/>
                <w:szCs w:val="20"/>
                <w:color w:val="auto"/>
              </w:rPr>
            </w:pPr>
            <w:r>
              <w:rPr>
                <w:rFonts w:ascii="Arial" w:cs="Arial" w:eastAsia="Arial" w:hAnsi="Arial"/>
                <w:sz w:val="14"/>
                <w:szCs w:val="14"/>
                <w:b w:val="1"/>
                <w:bCs w:val="1"/>
                <w:color w:val="auto"/>
              </w:rPr>
              <w:t>Preferred Stock</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6"/>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80"/>
              <w:spacing w:after="0" w:line="143" w:lineRule="exact"/>
              <w:rPr>
                <w:sz w:val="20"/>
                <w:szCs w:val="20"/>
                <w:color w:val="auto"/>
              </w:rPr>
            </w:pPr>
            <w:r>
              <w:rPr>
                <w:rFonts w:ascii="Arial" w:cs="Arial" w:eastAsia="Arial" w:hAnsi="Arial"/>
                <w:sz w:val="14"/>
                <w:szCs w:val="14"/>
                <w:b w:val="1"/>
                <w:bCs w:val="1"/>
                <w:color w:val="auto"/>
                <w:w w:val="95"/>
              </w:rPr>
              <w:t>Capital in</w:t>
            </w:r>
          </w:p>
        </w:tc>
        <w:tc>
          <w:tcPr>
            <w:tcW w:w="1120" w:type="dxa"/>
            <w:vAlign w:val="bottom"/>
            <w:gridSpan w:val="4"/>
          </w:tcPr>
          <w:p>
            <w:pPr>
              <w:jc w:val="center"/>
              <w:ind w:right="80"/>
              <w:spacing w:after="0" w:line="143"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3" w:lineRule="exact"/>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w w:val="98"/>
              </w:rPr>
              <w:t>Shares</w:t>
            </w: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5"/>
                <w:szCs w:val="15"/>
                <w:color w:val="auto"/>
              </w:rPr>
            </w:pPr>
          </w:p>
        </w:tc>
        <w:tc>
          <w:tcPr>
            <w:tcW w:w="10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Excess of Par</w:t>
            </w:r>
          </w:p>
        </w:tc>
        <w:tc>
          <w:tcPr>
            <w:tcW w:w="112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0"/>
              </w:rPr>
              <w:t>Income (Loss)</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5"/>
                <w:szCs w:val="15"/>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1940" w:type="dxa"/>
            <w:vAlign w:val="bottom"/>
            <w:gridSpan w:val="3"/>
            <w:shd w:val="clear" w:color="auto" w:fill="CCEEFF"/>
          </w:tcPr>
          <w:p>
            <w:pPr>
              <w:spacing w:after="0" w:line="147" w:lineRule="exact"/>
              <w:rPr>
                <w:sz w:val="20"/>
                <w:szCs w:val="20"/>
                <w:color w:val="auto"/>
              </w:rPr>
            </w:pPr>
            <w:r>
              <w:rPr>
                <w:rFonts w:ascii="Arial" w:cs="Arial" w:eastAsia="Arial" w:hAnsi="Arial"/>
                <w:sz w:val="14"/>
                <w:szCs w:val="14"/>
                <w:color w:val="auto"/>
              </w:rPr>
              <w:t>Balance, January 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2019</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11,775,148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117,751</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67,763,940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7"/>
              </w:rPr>
              <w:t>(2,884,313)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26,380,816</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1,027,439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(2,712,552)</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4"/>
              </w:rPr>
              <w:t>88,665,642</w:t>
            </w:r>
          </w:p>
        </w:tc>
        <w:tc>
          <w:tcPr>
            <w:tcW w:w="0" w:type="dxa"/>
            <w:vAlign w:val="bottom"/>
          </w:tcPr>
          <w:p>
            <w:pPr>
              <w:spacing w:after="0"/>
              <w:rPr>
                <w:sz w:val="1"/>
                <w:szCs w:val="1"/>
                <w:color w:val="auto"/>
              </w:rPr>
            </w:pPr>
          </w:p>
        </w:tc>
      </w:tr>
      <w:tr>
        <w:trPr>
          <w:trHeight w:val="147"/>
        </w:trPr>
        <w:tc>
          <w:tcPr>
            <w:tcW w:w="1940" w:type="dxa"/>
            <w:vAlign w:val="bottom"/>
            <w:gridSpan w:val="3"/>
          </w:tcPr>
          <w:p>
            <w:pPr>
              <w:spacing w:after="0" w:line="147" w:lineRule="exact"/>
              <w:rPr>
                <w:sz w:val="20"/>
                <w:szCs w:val="20"/>
                <w:color w:val="auto"/>
              </w:rPr>
            </w:pPr>
            <w:r>
              <w:rPr>
                <w:rFonts w:ascii="Arial" w:cs="Arial" w:eastAsia="Arial" w:hAnsi="Arial"/>
                <w:sz w:val="14"/>
                <w:szCs w:val="14"/>
                <w:color w:val="auto"/>
              </w:rPr>
              <w:t>Stock-based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940" w:type="dxa"/>
            <w:vAlign w:val="bottom"/>
            <w:gridSpan w:val="3"/>
          </w:tcPr>
          <w:p>
            <w:pPr>
              <w:spacing w:after="0"/>
              <w:rPr>
                <w:sz w:val="20"/>
                <w:szCs w:val="20"/>
                <w:color w:val="auto"/>
              </w:rPr>
            </w:pPr>
            <w:r>
              <w:rPr>
                <w:rFonts w:ascii="Arial" w:cs="Arial" w:eastAsia="Arial" w:hAnsi="Arial"/>
                <w:sz w:val="14"/>
                <w:szCs w:val="14"/>
                <w:color w:val="auto"/>
              </w:rPr>
              <w:t>compensation</w:t>
            </w:r>
          </w:p>
        </w:tc>
        <w:tc>
          <w:tcPr>
            <w:tcW w:w="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309,882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309,882</w:t>
            </w:r>
          </w:p>
        </w:tc>
        <w:tc>
          <w:tcPr>
            <w:tcW w:w="0" w:type="dxa"/>
            <w:vAlign w:val="bottom"/>
          </w:tcPr>
          <w:p>
            <w:pPr>
              <w:spacing w:after="0"/>
              <w:rPr>
                <w:sz w:val="1"/>
                <w:szCs w:val="1"/>
                <w:color w:val="auto"/>
              </w:rPr>
            </w:pPr>
          </w:p>
        </w:tc>
      </w:tr>
      <w:tr>
        <w:trPr>
          <w:trHeight w:val="147"/>
        </w:trPr>
        <w:tc>
          <w:tcPr>
            <w:tcW w:w="1940" w:type="dxa"/>
            <w:vAlign w:val="bottom"/>
            <w:gridSpan w:val="3"/>
            <w:shd w:val="clear" w:color="auto" w:fill="CCEEFF"/>
          </w:tcPr>
          <w:p>
            <w:pPr>
              <w:spacing w:after="0" w:line="147" w:lineRule="exact"/>
              <w:rPr>
                <w:sz w:val="20"/>
                <w:szCs w:val="20"/>
                <w:color w:val="auto"/>
              </w:rPr>
            </w:pPr>
            <w:r>
              <w:rPr>
                <w:rFonts w:ascii="Arial" w:cs="Arial" w:eastAsia="Arial" w:hAnsi="Arial"/>
                <w:sz w:val="14"/>
                <w:szCs w:val="14"/>
                <w:color w:val="auto"/>
              </w:rPr>
              <w:t>Vesting of</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940" w:type="dxa"/>
            <w:vAlign w:val="bottom"/>
            <w:gridSpan w:val="3"/>
            <w:shd w:val="clear" w:color="auto" w:fill="CCEEFF"/>
          </w:tcPr>
          <w:p>
            <w:pPr>
              <w:spacing w:after="0" w:line="157" w:lineRule="exact"/>
              <w:rPr>
                <w:sz w:val="20"/>
                <w:szCs w:val="20"/>
                <w:color w:val="auto"/>
              </w:rPr>
            </w:pPr>
            <w:r>
              <w:rPr>
                <w:rFonts w:ascii="Arial" w:cs="Arial" w:eastAsia="Arial" w:hAnsi="Arial"/>
                <w:sz w:val="14"/>
                <w:szCs w:val="14"/>
                <w:color w:val="auto"/>
              </w:rPr>
              <w:t>restricted stock</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9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awards</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27,593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275</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(275)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1940" w:type="dxa"/>
            <w:vAlign w:val="bottom"/>
            <w:gridSpan w:val="3"/>
          </w:tcPr>
          <w:p>
            <w:pPr>
              <w:spacing w:after="0" w:line="147" w:lineRule="exact"/>
              <w:rPr>
                <w:sz w:val="20"/>
                <w:szCs w:val="20"/>
                <w:color w:val="auto"/>
              </w:rPr>
            </w:pPr>
            <w:r>
              <w:rPr>
                <w:rFonts w:ascii="Arial" w:cs="Arial" w:eastAsia="Arial" w:hAnsi="Arial"/>
                <w:sz w:val="14"/>
                <w:szCs w:val="14"/>
                <w:color w:val="auto"/>
              </w:rPr>
              <w:t>Shares deducted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940" w:type="dxa"/>
            <w:vAlign w:val="bottom"/>
            <w:gridSpan w:val="3"/>
          </w:tcPr>
          <w:p>
            <w:pPr>
              <w:spacing w:after="0" w:line="157" w:lineRule="exact"/>
              <w:rPr>
                <w:sz w:val="20"/>
                <w:szCs w:val="20"/>
                <w:color w:val="auto"/>
              </w:rPr>
            </w:pPr>
            <w:r>
              <w:rPr>
                <w:rFonts w:ascii="Arial" w:cs="Arial" w:eastAsia="Arial" w:hAnsi="Arial"/>
                <w:sz w:val="14"/>
                <w:szCs w:val="14"/>
                <w:color w:val="auto"/>
              </w:rPr>
              <w:t>from restricted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940" w:type="dxa"/>
            <w:vAlign w:val="bottom"/>
            <w:gridSpan w:val="3"/>
          </w:tcPr>
          <w:p>
            <w:pPr>
              <w:spacing w:after="0"/>
              <w:rPr>
                <w:sz w:val="20"/>
                <w:szCs w:val="20"/>
                <w:color w:val="auto"/>
              </w:rPr>
            </w:pPr>
            <w:r>
              <w:rPr>
                <w:rFonts w:ascii="Arial" w:cs="Arial" w:eastAsia="Arial" w:hAnsi="Arial"/>
                <w:sz w:val="14"/>
                <w:szCs w:val="14"/>
                <w:color w:val="auto"/>
              </w:rPr>
              <w:t>stock</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940" w:type="dxa"/>
            <w:vAlign w:val="bottom"/>
            <w:gridSpan w:val="3"/>
            <w:shd w:val="clear" w:color="auto" w:fill="CCEEFF"/>
          </w:tcPr>
          <w:p>
            <w:pPr>
              <w:spacing w:after="0" w:line="147" w:lineRule="exact"/>
              <w:rPr>
                <w:sz w:val="20"/>
                <w:szCs w:val="20"/>
                <w:color w:val="auto"/>
              </w:rPr>
            </w:pPr>
            <w:r>
              <w:rPr>
                <w:rFonts w:ascii="Arial" w:cs="Arial" w:eastAsia="Arial" w:hAnsi="Arial"/>
                <w:sz w:val="14"/>
                <w:szCs w:val="14"/>
                <w:color w:val="auto"/>
              </w:rPr>
              <w:t>awards for</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940" w:type="dxa"/>
            <w:vAlign w:val="bottom"/>
            <w:gridSpan w:val="3"/>
            <w:shd w:val="clear" w:color="auto" w:fill="CCEEFF"/>
          </w:tcPr>
          <w:p>
            <w:pPr>
              <w:spacing w:after="0" w:line="157" w:lineRule="exact"/>
              <w:rPr>
                <w:sz w:val="20"/>
                <w:szCs w:val="20"/>
                <w:color w:val="auto"/>
              </w:rPr>
            </w:pPr>
            <w:r>
              <w:rPr>
                <w:rFonts w:ascii="Arial" w:cs="Arial" w:eastAsia="Arial" w:hAnsi="Arial"/>
                <w:sz w:val="14"/>
                <w:szCs w:val="14"/>
                <w:color w:val="auto"/>
              </w:rPr>
              <w:t>payment of</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9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withholding taxes</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(6,553)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(115,943)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(116,007)</w:t>
            </w:r>
          </w:p>
        </w:tc>
        <w:tc>
          <w:tcPr>
            <w:tcW w:w="0" w:type="dxa"/>
            <w:vAlign w:val="bottom"/>
          </w:tcPr>
          <w:p>
            <w:pPr>
              <w:spacing w:after="0"/>
              <w:rPr>
                <w:sz w:val="1"/>
                <w:szCs w:val="1"/>
                <w:color w:val="auto"/>
              </w:rPr>
            </w:pPr>
          </w:p>
        </w:tc>
      </w:tr>
      <w:tr>
        <w:trPr>
          <w:trHeight w:val="157"/>
        </w:trPr>
        <w:tc>
          <w:tcPr>
            <w:tcW w:w="1940" w:type="dxa"/>
            <w:vAlign w:val="bottom"/>
            <w:gridSpan w:val="3"/>
          </w:tcPr>
          <w:p>
            <w:pPr>
              <w:spacing w:after="0" w:line="157" w:lineRule="exact"/>
              <w:rPr>
                <w:sz w:val="20"/>
                <w:szCs w:val="20"/>
                <w:color w:val="auto"/>
              </w:rPr>
            </w:pPr>
            <w:r>
              <w:rPr>
                <w:rFonts w:ascii="Arial" w:cs="Arial" w:eastAsia="Arial" w:hAnsi="Arial"/>
                <w:sz w:val="14"/>
                <w:szCs w:val="14"/>
                <w:color w:val="auto"/>
              </w:rPr>
              <w:t>Dividends</w:t>
            </w:r>
          </w:p>
        </w:tc>
        <w:tc>
          <w:tcPr>
            <w:tcW w:w="2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(1,075,962)</w:t>
            </w:r>
          </w:p>
        </w:tc>
        <w:tc>
          <w:tcPr>
            <w:tcW w:w="1020" w:type="dxa"/>
            <w:vAlign w:val="bottom"/>
            <w:gridSpan w:val="3"/>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(1,075,962)</w:t>
            </w:r>
          </w:p>
        </w:tc>
        <w:tc>
          <w:tcPr>
            <w:tcW w:w="0" w:type="dxa"/>
            <w:vAlign w:val="bottom"/>
          </w:tcPr>
          <w:p>
            <w:pPr>
              <w:spacing w:after="0"/>
              <w:rPr>
                <w:sz w:val="1"/>
                <w:szCs w:val="1"/>
                <w:color w:val="auto"/>
              </w:rPr>
            </w:pPr>
          </w:p>
        </w:tc>
      </w:tr>
      <w:tr>
        <w:trPr>
          <w:trHeight w:val="157"/>
        </w:trPr>
        <w:tc>
          <w:tcPr>
            <w:tcW w:w="1940" w:type="dxa"/>
            <w:vAlign w:val="bottom"/>
            <w:gridSpan w:val="3"/>
            <w:shd w:val="clear" w:color="auto" w:fill="CCEEFF"/>
          </w:tcPr>
          <w:p>
            <w:pPr>
              <w:spacing w:after="0" w:line="157" w:lineRule="exact"/>
              <w:rPr>
                <w:sz w:val="20"/>
                <w:szCs w:val="20"/>
                <w:color w:val="auto"/>
              </w:rPr>
            </w:pPr>
            <w:r>
              <w:rPr>
                <w:rFonts w:ascii="Arial" w:cs="Arial" w:eastAsia="Arial" w:hAnsi="Arial"/>
                <w:sz w:val="14"/>
                <w:szCs w:val="14"/>
                <w:color w:val="auto"/>
              </w:rPr>
              <w:t>Net loss</w:t>
            </w:r>
          </w:p>
        </w:tc>
        <w:tc>
          <w:tcPr>
            <w:tcW w:w="2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tcBorders>
              <w:right w:val="single" w:sz="8" w:color="CCEEFF"/>
            </w:tcBorders>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(7,335,190)</w:t>
            </w:r>
          </w:p>
        </w:tc>
        <w:tc>
          <w:tcPr>
            <w:tcW w:w="1020" w:type="dxa"/>
            <w:vAlign w:val="bottom"/>
            <w:gridSpan w:val="3"/>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(7,335,190)</w:t>
            </w:r>
          </w:p>
        </w:tc>
        <w:tc>
          <w:tcPr>
            <w:tcW w:w="0" w:type="dxa"/>
            <w:vAlign w:val="bottom"/>
          </w:tcPr>
          <w:p>
            <w:pPr>
              <w:spacing w:after="0"/>
              <w:rPr>
                <w:sz w:val="1"/>
                <w:szCs w:val="1"/>
                <w:color w:val="auto"/>
              </w:rPr>
            </w:pPr>
          </w:p>
        </w:tc>
      </w:tr>
      <w:tr>
        <w:trPr>
          <w:trHeight w:val="147"/>
        </w:trPr>
        <w:tc>
          <w:tcPr>
            <w:tcW w:w="1940" w:type="dxa"/>
            <w:vAlign w:val="bottom"/>
            <w:gridSpan w:val="3"/>
          </w:tcPr>
          <w:p>
            <w:pPr>
              <w:spacing w:after="0" w:line="147" w:lineRule="exact"/>
              <w:rPr>
                <w:sz w:val="20"/>
                <w:szCs w:val="20"/>
                <w:color w:val="auto"/>
              </w:rPr>
            </w:pPr>
            <w:r>
              <w:rPr>
                <w:rFonts w:ascii="Arial" w:cs="Arial" w:eastAsia="Arial" w:hAnsi="Arial"/>
                <w:sz w:val="14"/>
                <w:szCs w:val="14"/>
                <w:color w:val="auto"/>
              </w:rPr>
              <w:t>Change in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940" w:type="dxa"/>
            <w:vAlign w:val="bottom"/>
            <w:gridSpan w:val="3"/>
          </w:tcPr>
          <w:p>
            <w:pPr>
              <w:spacing w:after="0" w:line="157" w:lineRule="exact"/>
              <w:rPr>
                <w:sz w:val="20"/>
                <w:szCs w:val="20"/>
                <w:color w:val="auto"/>
              </w:rPr>
            </w:pPr>
            <w:r>
              <w:rPr>
                <w:rFonts w:ascii="Arial" w:cs="Arial" w:eastAsia="Arial" w:hAnsi="Arial"/>
                <w:sz w:val="14"/>
                <w:szCs w:val="14"/>
                <w:color w:val="auto"/>
              </w:rPr>
              <w:t>unrealized gains on</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940" w:type="dxa"/>
            <w:vAlign w:val="bottom"/>
            <w:gridSpan w:val="3"/>
          </w:tcPr>
          <w:p>
            <w:pPr>
              <w:spacing w:after="0"/>
              <w:rPr>
                <w:sz w:val="20"/>
                <w:szCs w:val="20"/>
                <w:color w:val="auto"/>
              </w:rPr>
            </w:pPr>
            <w:r>
              <w:rPr>
                <w:rFonts w:ascii="Arial" w:cs="Arial" w:eastAsia="Arial" w:hAnsi="Arial"/>
                <w:sz w:val="14"/>
                <w:szCs w:val="14"/>
                <w:color w:val="auto"/>
              </w:rPr>
              <w:t>available-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940" w:type="dxa"/>
            <w:vAlign w:val="bottom"/>
            <w:gridSpan w:val="3"/>
            <w:shd w:val="clear" w:color="auto" w:fill="CCEEFF"/>
          </w:tcPr>
          <w:p>
            <w:pPr>
              <w:spacing w:after="0" w:line="147" w:lineRule="exact"/>
              <w:rPr>
                <w:sz w:val="20"/>
                <w:szCs w:val="20"/>
                <w:color w:val="auto"/>
              </w:rPr>
            </w:pPr>
            <w:r>
              <w:rPr>
                <w:rFonts w:ascii="Arial" w:cs="Arial" w:eastAsia="Arial" w:hAnsi="Arial"/>
                <w:sz w:val="14"/>
                <w:szCs w:val="14"/>
                <w:color w:val="auto"/>
              </w:rPr>
              <w:t>for-sale securities,</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2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of tax</w:t>
            </w: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3,326,806</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3,326,806</w:t>
            </w:r>
          </w:p>
        </w:tc>
        <w:tc>
          <w:tcPr>
            <w:tcW w:w="0" w:type="dxa"/>
            <w:vAlign w:val="bottom"/>
          </w:tcPr>
          <w:p>
            <w:pPr>
              <w:spacing w:after="0"/>
              <w:rPr>
                <w:sz w:val="1"/>
                <w:szCs w:val="1"/>
                <w:color w:val="auto"/>
              </w:rPr>
            </w:pPr>
          </w:p>
        </w:tc>
      </w:tr>
      <w:tr>
        <w:trPr>
          <w:trHeight w:val="147"/>
        </w:trPr>
        <w:tc>
          <w:tcPr>
            <w:tcW w:w="1240" w:type="dxa"/>
            <w:vAlign w:val="bottom"/>
            <w:tcBorders>
              <w:top w:val="single" w:sz="8" w:color="CCEEFF"/>
            </w:tcBorders>
            <w:gridSpan w:val="2"/>
          </w:tcPr>
          <w:p>
            <w:pPr>
              <w:spacing w:after="0" w:line="147" w:lineRule="exact"/>
              <w:rPr>
                <w:sz w:val="20"/>
                <w:szCs w:val="20"/>
                <w:color w:val="auto"/>
              </w:rPr>
            </w:pPr>
            <w:r>
              <w:rPr>
                <w:rFonts w:ascii="Arial" w:cs="Arial" w:eastAsia="Arial" w:hAnsi="Arial"/>
                <w:sz w:val="14"/>
                <w:szCs w:val="14"/>
                <w:color w:val="auto"/>
              </w:rPr>
              <w:t>Balance, March 31,</w:t>
            </w: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140" w:type="dxa"/>
            <w:vAlign w:val="bottom"/>
          </w:tcPr>
          <w:p>
            <w:pPr>
              <w:spacing w:after="0"/>
              <w:rPr>
                <w:sz w:val="20"/>
                <w:szCs w:val="20"/>
                <w:color w:val="auto"/>
              </w:rPr>
            </w:pPr>
            <w:r>
              <w:rPr>
                <w:rFonts w:ascii="Arial" w:cs="Arial" w:eastAsia="Arial" w:hAnsi="Arial"/>
                <w:sz w:val="14"/>
                <w:szCs w:val="14"/>
                <w:color w:val="auto"/>
              </w:rPr>
              <w:t>2019</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568"/>
              <w:spacing w:after="0"/>
              <w:rPr>
                <w:sz w:val="20"/>
                <w:szCs w:val="20"/>
                <w:color w:val="auto"/>
              </w:rPr>
            </w:pPr>
            <w:r>
              <w:rPr>
                <w:rFonts w:ascii="Arial" w:cs="Arial" w:eastAsia="Arial" w:hAnsi="Arial"/>
                <w:sz w:val="14"/>
                <w:szCs w:val="14"/>
                <w:color w:val="auto"/>
                <w:w w:val="76"/>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11,796,188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117,962</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67,957,604</w:t>
            </w:r>
          </w:p>
        </w:tc>
        <w:tc>
          <w:tcPr>
            <w:tcW w:w="2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442,493</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17,969,664</w:t>
            </w:r>
          </w:p>
        </w:tc>
        <w:tc>
          <w:tcPr>
            <w:tcW w:w="1020" w:type="dxa"/>
            <w:vAlign w:val="bottom"/>
            <w:gridSpan w:val="3"/>
          </w:tcPr>
          <w:p>
            <w:pPr>
              <w:jc w:val="right"/>
              <w:ind w:right="100"/>
              <w:spacing w:after="0"/>
              <w:rPr>
                <w:sz w:val="20"/>
                <w:szCs w:val="20"/>
                <w:color w:val="auto"/>
              </w:rPr>
            </w:pPr>
            <w:r>
              <w:rPr>
                <w:rFonts w:ascii="Arial" w:cs="Arial" w:eastAsia="Arial" w:hAnsi="Arial"/>
                <w:sz w:val="14"/>
                <w:szCs w:val="14"/>
                <w:color w:val="auto"/>
              </w:rPr>
              <w:t>1,027,439</w:t>
            </w:r>
          </w:p>
        </w:tc>
        <w:tc>
          <w:tcPr>
            <w:tcW w:w="2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(2,712,552)</w:t>
            </w: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w w:val="94"/>
              </w:rPr>
              <w:t>83,775,171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5"/>
            <w:vMerge w:val="restart"/>
          </w:tcPr>
          <w:p>
            <w:pPr>
              <w:jc w:val="right"/>
              <w:ind w:right="248"/>
              <w:spacing w:after="0"/>
              <w:rPr>
                <w:sz w:val="20"/>
                <w:szCs w:val="20"/>
                <w:color w:val="auto"/>
              </w:rPr>
            </w:pPr>
            <w:r>
              <w:rPr>
                <w:rFonts w:ascii="Arial" w:cs="Arial" w:eastAsia="Arial" w:hAnsi="Arial"/>
                <w:sz w:val="14"/>
                <w:szCs w:val="14"/>
                <w:b w:val="1"/>
                <w:bCs w:val="1"/>
                <w:color w:val="auto"/>
              </w:rPr>
              <w:t>Preferred Stock</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gridSpan w:val="6"/>
            <w:vMerge w:val="restart"/>
          </w:tcPr>
          <w:p>
            <w:pPr>
              <w:jc w:val="right"/>
              <w:ind w:right="52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6"/>
            <w:vMerge w:val="restart"/>
          </w:tcPr>
          <w:p>
            <w:pPr>
              <w:jc w:val="right"/>
              <w:ind w:right="52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5"/>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6"/>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320"/>
              <w:spacing w:after="0" w:line="124"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6"/>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80"/>
              <w:spacing w:after="0" w:line="143" w:lineRule="exact"/>
              <w:rPr>
                <w:sz w:val="20"/>
                <w:szCs w:val="20"/>
                <w:color w:val="auto"/>
              </w:rPr>
            </w:pPr>
            <w:r>
              <w:rPr>
                <w:rFonts w:ascii="Arial" w:cs="Arial" w:eastAsia="Arial" w:hAnsi="Arial"/>
                <w:sz w:val="14"/>
                <w:szCs w:val="14"/>
                <w:b w:val="1"/>
                <w:bCs w:val="1"/>
                <w:color w:val="auto"/>
                <w:w w:val="95"/>
              </w:rPr>
              <w:t>Capital in</w:t>
            </w:r>
          </w:p>
        </w:tc>
        <w:tc>
          <w:tcPr>
            <w:tcW w:w="1120" w:type="dxa"/>
            <w:vAlign w:val="bottom"/>
            <w:gridSpan w:val="4"/>
          </w:tcPr>
          <w:p>
            <w:pPr>
              <w:jc w:val="center"/>
              <w:ind w:right="80"/>
              <w:spacing w:after="0" w:line="143"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3" w:lineRule="exact"/>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w w:val="98"/>
              </w:rPr>
              <w:t>Shares</w:t>
            </w: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5"/>
                <w:szCs w:val="15"/>
                <w:color w:val="auto"/>
              </w:rPr>
            </w:pPr>
          </w:p>
        </w:tc>
        <w:tc>
          <w:tcPr>
            <w:tcW w:w="100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5"/>
              </w:rPr>
              <w:t>Excess of Par</w:t>
            </w:r>
          </w:p>
        </w:tc>
        <w:tc>
          <w:tcPr>
            <w:tcW w:w="112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0"/>
              </w:rPr>
              <w:t>Income (Loss)</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5"/>
                <w:szCs w:val="15"/>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1940" w:type="dxa"/>
            <w:vAlign w:val="bottom"/>
            <w:gridSpan w:val="3"/>
            <w:shd w:val="clear" w:color="auto" w:fill="CCEEFF"/>
          </w:tcPr>
          <w:p>
            <w:pPr>
              <w:spacing w:after="0" w:line="147" w:lineRule="exact"/>
              <w:rPr>
                <w:sz w:val="20"/>
                <w:szCs w:val="20"/>
                <w:color w:val="auto"/>
              </w:rPr>
            </w:pPr>
            <w:r>
              <w:rPr>
                <w:rFonts w:ascii="Arial" w:cs="Arial" w:eastAsia="Arial" w:hAnsi="Arial"/>
                <w:sz w:val="14"/>
                <w:szCs w:val="14"/>
                <w:color w:val="auto"/>
              </w:rPr>
              <w:t>Balance, January 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11,824,889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118,248</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69,133,918</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4,768,870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16,913,097</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1,027,439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(2,712,552)</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4"/>
              </w:rPr>
              <w:t>88,221,581</w:t>
            </w:r>
          </w:p>
        </w:tc>
        <w:tc>
          <w:tcPr>
            <w:tcW w:w="0" w:type="dxa"/>
            <w:vAlign w:val="bottom"/>
          </w:tcPr>
          <w:p>
            <w:pPr>
              <w:spacing w:after="0"/>
              <w:rPr>
                <w:sz w:val="1"/>
                <w:szCs w:val="1"/>
                <w:color w:val="auto"/>
              </w:rPr>
            </w:pPr>
          </w:p>
        </w:tc>
      </w:tr>
      <w:tr>
        <w:trPr>
          <w:trHeight w:val="147"/>
        </w:trPr>
        <w:tc>
          <w:tcPr>
            <w:tcW w:w="1940" w:type="dxa"/>
            <w:vAlign w:val="bottom"/>
            <w:gridSpan w:val="3"/>
          </w:tcPr>
          <w:p>
            <w:pPr>
              <w:spacing w:after="0" w:line="147" w:lineRule="exact"/>
              <w:rPr>
                <w:sz w:val="20"/>
                <w:szCs w:val="20"/>
                <w:color w:val="auto"/>
              </w:rPr>
            </w:pPr>
            <w:r>
              <w:rPr>
                <w:rFonts w:ascii="Arial" w:cs="Arial" w:eastAsia="Arial" w:hAnsi="Arial"/>
                <w:sz w:val="14"/>
                <w:szCs w:val="14"/>
                <w:color w:val="auto"/>
              </w:rPr>
              <w:t>Stock-based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940" w:type="dxa"/>
            <w:vAlign w:val="bottom"/>
            <w:gridSpan w:val="3"/>
          </w:tcPr>
          <w:p>
            <w:pPr>
              <w:spacing w:after="0"/>
              <w:rPr>
                <w:sz w:val="20"/>
                <w:szCs w:val="20"/>
                <w:color w:val="auto"/>
              </w:rPr>
            </w:pPr>
            <w:r>
              <w:rPr>
                <w:rFonts w:ascii="Arial" w:cs="Arial" w:eastAsia="Arial" w:hAnsi="Arial"/>
                <w:sz w:val="14"/>
                <w:szCs w:val="14"/>
                <w:color w:val="auto"/>
              </w:rPr>
              <w:t>compensation</w:t>
            </w:r>
          </w:p>
        </w:tc>
        <w:tc>
          <w:tcPr>
            <w:tcW w:w="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487,450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487,450</w:t>
            </w:r>
          </w:p>
        </w:tc>
        <w:tc>
          <w:tcPr>
            <w:tcW w:w="0" w:type="dxa"/>
            <w:vAlign w:val="bottom"/>
          </w:tcPr>
          <w:p>
            <w:pPr>
              <w:spacing w:after="0"/>
              <w:rPr>
                <w:sz w:val="1"/>
                <w:szCs w:val="1"/>
                <w:color w:val="auto"/>
              </w:rPr>
            </w:pPr>
          </w:p>
        </w:tc>
      </w:tr>
      <w:tr>
        <w:trPr>
          <w:trHeight w:val="147"/>
        </w:trPr>
        <w:tc>
          <w:tcPr>
            <w:tcW w:w="1940" w:type="dxa"/>
            <w:vAlign w:val="bottom"/>
            <w:gridSpan w:val="3"/>
            <w:shd w:val="clear" w:color="auto" w:fill="CCEEFF"/>
          </w:tcPr>
          <w:p>
            <w:pPr>
              <w:spacing w:after="0" w:line="147" w:lineRule="exact"/>
              <w:rPr>
                <w:sz w:val="20"/>
                <w:szCs w:val="20"/>
                <w:color w:val="auto"/>
              </w:rPr>
            </w:pPr>
            <w:r>
              <w:rPr>
                <w:rFonts w:ascii="Arial" w:cs="Arial" w:eastAsia="Arial" w:hAnsi="Arial"/>
                <w:sz w:val="14"/>
                <w:szCs w:val="14"/>
                <w:color w:val="auto"/>
              </w:rPr>
              <w:t>Vesting of</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940" w:type="dxa"/>
            <w:vAlign w:val="bottom"/>
            <w:gridSpan w:val="3"/>
            <w:shd w:val="clear" w:color="auto" w:fill="CCEEFF"/>
          </w:tcPr>
          <w:p>
            <w:pPr>
              <w:spacing w:after="0" w:line="157" w:lineRule="exact"/>
              <w:rPr>
                <w:sz w:val="20"/>
                <w:szCs w:val="20"/>
                <w:color w:val="auto"/>
              </w:rPr>
            </w:pPr>
            <w:r>
              <w:rPr>
                <w:rFonts w:ascii="Arial" w:cs="Arial" w:eastAsia="Arial" w:hAnsi="Arial"/>
                <w:sz w:val="14"/>
                <w:szCs w:val="14"/>
                <w:color w:val="auto"/>
              </w:rPr>
              <w:t>restricted stock</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9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awards</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38,866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387</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(387)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1940" w:type="dxa"/>
            <w:vAlign w:val="bottom"/>
            <w:gridSpan w:val="3"/>
          </w:tcPr>
          <w:p>
            <w:pPr>
              <w:spacing w:after="0" w:line="147" w:lineRule="exact"/>
              <w:rPr>
                <w:sz w:val="20"/>
                <w:szCs w:val="20"/>
                <w:color w:val="auto"/>
              </w:rPr>
            </w:pPr>
            <w:r>
              <w:rPr>
                <w:rFonts w:ascii="Arial" w:cs="Arial" w:eastAsia="Arial" w:hAnsi="Arial"/>
                <w:sz w:val="14"/>
                <w:szCs w:val="14"/>
                <w:color w:val="auto"/>
              </w:rPr>
              <w:t>Shares deducted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940" w:type="dxa"/>
            <w:vAlign w:val="bottom"/>
            <w:gridSpan w:val="3"/>
          </w:tcPr>
          <w:p>
            <w:pPr>
              <w:spacing w:after="0" w:line="157" w:lineRule="exact"/>
              <w:rPr>
                <w:sz w:val="20"/>
                <w:szCs w:val="20"/>
                <w:color w:val="auto"/>
              </w:rPr>
            </w:pPr>
            <w:r>
              <w:rPr>
                <w:rFonts w:ascii="Arial" w:cs="Arial" w:eastAsia="Arial" w:hAnsi="Arial"/>
                <w:sz w:val="14"/>
                <w:szCs w:val="14"/>
                <w:color w:val="auto"/>
              </w:rPr>
              <w:t>from restricted</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940" w:type="dxa"/>
            <w:vAlign w:val="bottom"/>
            <w:gridSpan w:val="3"/>
          </w:tcPr>
          <w:p>
            <w:pPr>
              <w:spacing w:after="0"/>
              <w:rPr>
                <w:sz w:val="20"/>
                <w:szCs w:val="20"/>
                <w:color w:val="auto"/>
              </w:rPr>
            </w:pPr>
            <w:r>
              <w:rPr>
                <w:rFonts w:ascii="Arial" w:cs="Arial" w:eastAsia="Arial" w:hAnsi="Arial"/>
                <w:sz w:val="14"/>
                <w:szCs w:val="14"/>
                <w:color w:val="auto"/>
              </w:rPr>
              <w:t>stock</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940" w:type="dxa"/>
            <w:vAlign w:val="bottom"/>
            <w:gridSpan w:val="3"/>
            <w:shd w:val="clear" w:color="auto" w:fill="CCEEFF"/>
          </w:tcPr>
          <w:p>
            <w:pPr>
              <w:spacing w:after="0" w:line="147" w:lineRule="exact"/>
              <w:rPr>
                <w:sz w:val="20"/>
                <w:szCs w:val="20"/>
                <w:color w:val="auto"/>
              </w:rPr>
            </w:pPr>
            <w:r>
              <w:rPr>
                <w:rFonts w:ascii="Arial" w:cs="Arial" w:eastAsia="Arial" w:hAnsi="Arial"/>
                <w:sz w:val="14"/>
                <w:szCs w:val="14"/>
                <w:color w:val="auto"/>
              </w:rPr>
              <w:t>awards for</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940" w:type="dxa"/>
            <w:vAlign w:val="bottom"/>
            <w:gridSpan w:val="3"/>
            <w:shd w:val="clear" w:color="auto" w:fill="CCEEFF"/>
          </w:tcPr>
          <w:p>
            <w:pPr>
              <w:spacing w:after="0" w:line="157" w:lineRule="exact"/>
              <w:rPr>
                <w:sz w:val="20"/>
                <w:szCs w:val="20"/>
                <w:color w:val="auto"/>
              </w:rPr>
            </w:pPr>
            <w:r>
              <w:rPr>
                <w:rFonts w:ascii="Arial" w:cs="Arial" w:eastAsia="Arial" w:hAnsi="Arial"/>
                <w:sz w:val="14"/>
                <w:szCs w:val="14"/>
                <w:color w:val="auto"/>
              </w:rPr>
              <w:t>payment of</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9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withholding taxes</w:t>
            </w:r>
          </w:p>
        </w:tc>
        <w:tc>
          <w:tcPr>
            <w:tcW w:w="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(12,489)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(123)</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(87,831)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(87,954)</w:t>
            </w:r>
          </w:p>
        </w:tc>
        <w:tc>
          <w:tcPr>
            <w:tcW w:w="0" w:type="dxa"/>
            <w:vAlign w:val="bottom"/>
          </w:tcPr>
          <w:p>
            <w:pPr>
              <w:spacing w:after="0"/>
              <w:rPr>
                <w:sz w:val="1"/>
                <w:szCs w:val="1"/>
                <w:color w:val="auto"/>
              </w:rPr>
            </w:pPr>
          </w:p>
        </w:tc>
      </w:tr>
      <w:tr>
        <w:trPr>
          <w:trHeight w:val="147"/>
        </w:trPr>
        <w:tc>
          <w:tcPr>
            <w:tcW w:w="1940" w:type="dxa"/>
            <w:vAlign w:val="bottom"/>
            <w:gridSpan w:val="3"/>
          </w:tcPr>
          <w:p>
            <w:pPr>
              <w:spacing w:after="0" w:line="147" w:lineRule="exact"/>
              <w:rPr>
                <w:sz w:val="20"/>
                <w:szCs w:val="20"/>
                <w:color w:val="auto"/>
              </w:rPr>
            </w:pPr>
            <w:r>
              <w:rPr>
                <w:rFonts w:ascii="Arial" w:cs="Arial" w:eastAsia="Arial" w:hAnsi="Arial"/>
                <w:sz w:val="14"/>
                <w:szCs w:val="14"/>
                <w:color w:val="auto"/>
              </w:rPr>
              <w:t>Acquisition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940" w:type="dxa"/>
            <w:vAlign w:val="bottom"/>
            <w:gridSpan w:val="3"/>
          </w:tcPr>
          <w:p>
            <w:pPr>
              <w:spacing w:after="0"/>
              <w:rPr>
                <w:sz w:val="20"/>
                <w:szCs w:val="20"/>
                <w:color w:val="auto"/>
              </w:rPr>
            </w:pPr>
            <w:r>
              <w:rPr>
                <w:rFonts w:ascii="Arial" w:cs="Arial" w:eastAsia="Arial" w:hAnsi="Arial"/>
                <w:sz w:val="14"/>
                <w:szCs w:val="14"/>
                <w:color w:val="auto"/>
              </w:rPr>
              <w:t>treasury stock</w:t>
            </w:r>
          </w:p>
        </w:tc>
        <w:tc>
          <w:tcPr>
            <w:tcW w:w="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4"/>
                <w:szCs w:val="14"/>
                <w:color w:val="auto"/>
              </w:rPr>
              <w:t>42,434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(242,724)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(242,724)</w:t>
            </w:r>
          </w:p>
        </w:tc>
        <w:tc>
          <w:tcPr>
            <w:tcW w:w="0" w:type="dxa"/>
            <w:vAlign w:val="bottom"/>
          </w:tcPr>
          <w:p>
            <w:pPr>
              <w:spacing w:after="0"/>
              <w:rPr>
                <w:sz w:val="1"/>
                <w:szCs w:val="1"/>
                <w:color w:val="auto"/>
              </w:rPr>
            </w:pPr>
          </w:p>
        </w:tc>
      </w:tr>
      <w:tr>
        <w:trPr>
          <w:trHeight w:val="157"/>
        </w:trPr>
        <w:tc>
          <w:tcPr>
            <w:tcW w:w="1940" w:type="dxa"/>
            <w:vAlign w:val="bottom"/>
            <w:gridSpan w:val="3"/>
            <w:shd w:val="clear" w:color="auto" w:fill="CCEEFF"/>
          </w:tcPr>
          <w:p>
            <w:pPr>
              <w:spacing w:after="0" w:line="157" w:lineRule="exact"/>
              <w:rPr>
                <w:sz w:val="20"/>
                <w:szCs w:val="20"/>
                <w:color w:val="auto"/>
              </w:rPr>
            </w:pPr>
            <w:r>
              <w:rPr>
                <w:rFonts w:ascii="Arial" w:cs="Arial" w:eastAsia="Arial" w:hAnsi="Arial"/>
                <w:sz w:val="14"/>
                <w:szCs w:val="14"/>
                <w:color w:val="auto"/>
              </w:rPr>
              <w:t>Dividends</w:t>
            </w:r>
          </w:p>
        </w:tc>
        <w:tc>
          <w:tcPr>
            <w:tcW w:w="2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tcBorders>
              <w:right w:val="single" w:sz="8" w:color="CCEEFF"/>
            </w:tcBorders>
            <w:gridSpan w:val="2"/>
            <w:shd w:val="clear" w:color="auto" w:fill="CCEEFF"/>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(675,960)</w:t>
            </w:r>
          </w:p>
        </w:tc>
        <w:tc>
          <w:tcPr>
            <w:tcW w:w="1020" w:type="dxa"/>
            <w:vAlign w:val="bottom"/>
            <w:gridSpan w:val="3"/>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(675,960)</w:t>
            </w:r>
          </w:p>
        </w:tc>
        <w:tc>
          <w:tcPr>
            <w:tcW w:w="0" w:type="dxa"/>
            <w:vAlign w:val="bottom"/>
          </w:tcPr>
          <w:p>
            <w:pPr>
              <w:spacing w:after="0"/>
              <w:rPr>
                <w:sz w:val="1"/>
                <w:szCs w:val="1"/>
                <w:color w:val="auto"/>
              </w:rPr>
            </w:pPr>
          </w:p>
        </w:tc>
      </w:tr>
      <w:tr>
        <w:trPr>
          <w:trHeight w:val="157"/>
        </w:trPr>
        <w:tc>
          <w:tcPr>
            <w:tcW w:w="1940" w:type="dxa"/>
            <w:vAlign w:val="bottom"/>
            <w:gridSpan w:val="3"/>
          </w:tcPr>
          <w:p>
            <w:pPr>
              <w:spacing w:after="0" w:line="157" w:lineRule="exact"/>
              <w:rPr>
                <w:sz w:val="20"/>
                <w:szCs w:val="20"/>
                <w:color w:val="auto"/>
              </w:rPr>
            </w:pPr>
            <w:r>
              <w:rPr>
                <w:rFonts w:ascii="Arial" w:cs="Arial" w:eastAsia="Arial" w:hAnsi="Arial"/>
                <w:sz w:val="14"/>
                <w:szCs w:val="14"/>
                <w:color w:val="auto"/>
              </w:rPr>
              <w:t>Net loss</w:t>
            </w:r>
          </w:p>
        </w:tc>
        <w:tc>
          <w:tcPr>
            <w:tcW w:w="2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(5,444,203)</w:t>
            </w:r>
          </w:p>
        </w:tc>
        <w:tc>
          <w:tcPr>
            <w:tcW w:w="1020" w:type="dxa"/>
            <w:vAlign w:val="bottom"/>
            <w:gridSpan w:val="3"/>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(5,444,203)</w:t>
            </w:r>
          </w:p>
        </w:tc>
        <w:tc>
          <w:tcPr>
            <w:tcW w:w="0" w:type="dxa"/>
            <w:vAlign w:val="bottom"/>
          </w:tcPr>
          <w:p>
            <w:pPr>
              <w:spacing w:after="0"/>
              <w:rPr>
                <w:sz w:val="1"/>
                <w:szCs w:val="1"/>
                <w:color w:val="auto"/>
              </w:rPr>
            </w:pPr>
          </w:p>
        </w:tc>
      </w:tr>
      <w:tr>
        <w:trPr>
          <w:trHeight w:val="147"/>
        </w:trPr>
        <w:tc>
          <w:tcPr>
            <w:tcW w:w="1940" w:type="dxa"/>
            <w:vAlign w:val="bottom"/>
            <w:gridSpan w:val="3"/>
            <w:shd w:val="clear" w:color="auto" w:fill="CCEEFF"/>
          </w:tcPr>
          <w:p>
            <w:pPr>
              <w:spacing w:after="0" w:line="147" w:lineRule="exact"/>
              <w:rPr>
                <w:sz w:val="20"/>
                <w:szCs w:val="20"/>
                <w:color w:val="auto"/>
              </w:rPr>
            </w:pPr>
            <w:r>
              <w:rPr>
                <w:rFonts w:ascii="Arial" w:cs="Arial" w:eastAsia="Arial" w:hAnsi="Arial"/>
                <w:sz w:val="14"/>
                <w:szCs w:val="14"/>
                <w:color w:val="auto"/>
              </w:rPr>
              <w:t>Change in</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940" w:type="dxa"/>
            <w:vAlign w:val="bottom"/>
            <w:gridSpan w:val="3"/>
            <w:shd w:val="clear" w:color="auto" w:fill="CCEEFF"/>
          </w:tcPr>
          <w:p>
            <w:pPr>
              <w:spacing w:after="0" w:line="157" w:lineRule="exact"/>
              <w:rPr>
                <w:sz w:val="20"/>
                <w:szCs w:val="20"/>
                <w:color w:val="auto"/>
              </w:rPr>
            </w:pPr>
            <w:r>
              <w:rPr>
                <w:rFonts w:ascii="Arial" w:cs="Arial" w:eastAsia="Arial" w:hAnsi="Arial"/>
                <w:sz w:val="14"/>
                <w:szCs w:val="14"/>
                <w:color w:val="auto"/>
              </w:rPr>
              <w:t>unrealized losses</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94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on available-</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tcBorders>
              <w:right w:val="single" w:sz="8" w:color="CCEEFF"/>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940" w:type="dxa"/>
            <w:vAlign w:val="bottom"/>
            <w:gridSpan w:val="3"/>
          </w:tcPr>
          <w:p>
            <w:pPr>
              <w:spacing w:after="0" w:line="147" w:lineRule="exact"/>
              <w:rPr>
                <w:sz w:val="20"/>
                <w:szCs w:val="20"/>
                <w:color w:val="auto"/>
              </w:rPr>
            </w:pPr>
            <w:r>
              <w:rPr>
                <w:rFonts w:ascii="Arial" w:cs="Arial" w:eastAsia="Arial" w:hAnsi="Arial"/>
                <w:sz w:val="14"/>
                <w:szCs w:val="14"/>
                <w:color w:val="auto"/>
              </w:rPr>
              <w:t>for-sale securities,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240" w:type="dxa"/>
            <w:vAlign w:val="bottom"/>
            <w:gridSpan w:val="2"/>
          </w:tcPr>
          <w:p>
            <w:pPr>
              <w:spacing w:after="0"/>
              <w:rPr>
                <w:sz w:val="20"/>
                <w:szCs w:val="20"/>
                <w:color w:val="auto"/>
              </w:rPr>
            </w:pPr>
            <w:r>
              <w:rPr>
                <w:rFonts w:ascii="Arial" w:cs="Arial" w:eastAsia="Arial" w:hAnsi="Arial"/>
                <w:sz w:val="14"/>
                <w:szCs w:val="14"/>
                <w:color w:val="auto"/>
              </w:rPr>
              <w:t>net of tax</w:t>
            </w:r>
          </w:p>
        </w:tc>
        <w:tc>
          <w:tcPr>
            <w:tcW w:w="7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w w:val="97"/>
              </w:rPr>
              <w:t>(5,395,471)</w:t>
            </w: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4"/>
                <w:szCs w:val="14"/>
                <w:color w:val="auto"/>
              </w:rPr>
              <w:t>(5,395,471)</w:t>
            </w:r>
          </w:p>
        </w:tc>
        <w:tc>
          <w:tcPr>
            <w:tcW w:w="0" w:type="dxa"/>
            <w:vAlign w:val="bottom"/>
          </w:tcPr>
          <w:p>
            <w:pPr>
              <w:spacing w:after="0"/>
              <w:rPr>
                <w:sz w:val="1"/>
                <w:szCs w:val="1"/>
                <w:color w:val="auto"/>
              </w:rPr>
            </w:pPr>
          </w:p>
        </w:tc>
      </w:tr>
      <w:tr>
        <w:trPr>
          <w:trHeight w:val="147"/>
        </w:trPr>
        <w:tc>
          <w:tcPr>
            <w:tcW w:w="1240" w:type="dxa"/>
            <w:vAlign w:val="bottom"/>
            <w:gridSpan w:val="2"/>
            <w:shd w:val="clear" w:color="auto" w:fill="CCEEFF"/>
          </w:tcPr>
          <w:p>
            <w:pPr>
              <w:spacing w:after="0" w:line="147" w:lineRule="exact"/>
              <w:rPr>
                <w:sz w:val="20"/>
                <w:szCs w:val="20"/>
                <w:color w:val="auto"/>
              </w:rPr>
            </w:pPr>
            <w:r>
              <w:rPr>
                <w:rFonts w:ascii="Arial" w:cs="Arial" w:eastAsia="Arial" w:hAnsi="Arial"/>
                <w:sz w:val="14"/>
                <w:szCs w:val="14"/>
                <w:color w:val="auto"/>
              </w:rPr>
              <w:t>Balance, March 31,</w:t>
            </w: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2020</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11,851,266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118,512</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69,533,150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(626,601)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10,792,934</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1,069,873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(2,955,276)</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4"/>
              </w:rPr>
              <w:t>76,862,719</w:t>
            </w:r>
          </w:p>
        </w:tc>
        <w:tc>
          <w:tcPr>
            <w:tcW w:w="0" w:type="dxa"/>
            <w:vAlign w:val="bottom"/>
          </w:tcPr>
          <w:p>
            <w:pPr>
              <w:spacing w:after="0"/>
              <w:rPr>
                <w:sz w:val="1"/>
                <w:szCs w:val="1"/>
                <w:color w:val="auto"/>
              </w:rPr>
            </w:pPr>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9"/>
        </w:trPr>
        <w:tc>
          <w:tcPr>
            <w:tcW w:w="8680" w:type="dxa"/>
            <w:vAlign w:val="bottom"/>
          </w:tcPr>
          <w:p>
            <w:pPr>
              <w:ind w:left="3540"/>
              <w:spacing w:after="0"/>
              <w:rPr>
                <w:sz w:val="20"/>
                <w:szCs w:val="20"/>
                <w:color w:val="auto"/>
              </w:rPr>
            </w:pPr>
            <w:r>
              <w:rPr>
                <w:rFonts w:ascii="Arial" w:cs="Arial" w:eastAsia="Arial" w:hAnsi="Arial"/>
                <w:sz w:val="17"/>
                <w:szCs w:val="17"/>
                <w:b w:val="1"/>
                <w:bCs w:val="1"/>
                <w:color w:val="auto"/>
              </w:rPr>
              <w:t>KINGSTONE COMPANIES, INC. AND SUBSIDIARIES</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12"/>
        </w:trPr>
        <w:tc>
          <w:tcPr>
            <w:tcW w:w="8680" w:type="dxa"/>
            <w:vAlign w:val="bottom"/>
          </w:tcPr>
          <w:p>
            <w:pPr>
              <w:spacing w:after="0"/>
              <w:rPr>
                <w:sz w:val="20"/>
                <w:szCs w:val="20"/>
                <w:color w:val="auto"/>
              </w:rPr>
            </w:pPr>
            <w:r>
              <w:rPr>
                <w:rFonts w:ascii="Arial" w:cs="Arial" w:eastAsia="Arial" w:hAnsi="Arial"/>
                <w:sz w:val="17"/>
                <w:szCs w:val="17"/>
                <w:b w:val="1"/>
                <w:bCs w:val="1"/>
                <w:color w:val="auto"/>
              </w:rPr>
              <w:t>Condensed Consolidated Statements of Cash Flows (Unaudited)</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4"/>
        </w:trPr>
        <w:tc>
          <w:tcPr>
            <w:tcW w:w="8680" w:type="dxa"/>
            <w:vAlign w:val="bottom"/>
          </w:tcPr>
          <w:p>
            <w:pPr>
              <w:spacing w:after="0"/>
              <w:rPr>
                <w:sz w:val="20"/>
                <w:szCs w:val="20"/>
                <w:color w:val="auto"/>
              </w:rPr>
            </w:pPr>
            <w:r>
              <w:rPr>
                <w:rFonts w:ascii="Arial" w:cs="Arial" w:eastAsia="Arial" w:hAnsi="Arial"/>
                <w:sz w:val="17"/>
                <w:szCs w:val="17"/>
                <w:i w:val="1"/>
                <w:iCs w:val="1"/>
                <w:color w:val="auto"/>
              </w:rPr>
              <w:t>Three months ended March 31,</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r>
      <w:tr>
        <w:trPr>
          <w:trHeight w:val="469"/>
        </w:trPr>
        <w:tc>
          <w:tcPr>
            <w:tcW w:w="8680" w:type="dxa"/>
            <w:vAlign w:val="bottom"/>
          </w:tcPr>
          <w:p>
            <w:pPr>
              <w:ind w:left="40"/>
              <w:spacing w:after="0"/>
              <w:rPr>
                <w:sz w:val="20"/>
                <w:szCs w:val="20"/>
                <w:color w:val="auto"/>
              </w:rPr>
            </w:pPr>
            <w:r>
              <w:rPr>
                <w:rFonts w:ascii="Arial" w:cs="Arial" w:eastAsia="Arial" w:hAnsi="Arial"/>
                <w:sz w:val="17"/>
                <w:szCs w:val="17"/>
                <w:b w:val="1"/>
                <w:bCs w:val="1"/>
                <w:color w:val="auto"/>
              </w:rPr>
              <w:t>Cash flows from operating activities</w:t>
            </w: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0"/>
        </w:trPr>
        <w:tc>
          <w:tcPr>
            <w:tcW w:w="8680" w:type="dxa"/>
            <w:vAlign w:val="bottom"/>
            <w:shd w:val="clear" w:color="auto" w:fill="CCEEFF"/>
          </w:tcPr>
          <w:p>
            <w:pPr>
              <w:ind w:left="40"/>
              <w:spacing w:after="0"/>
              <w:rPr>
                <w:sz w:val="20"/>
                <w:szCs w:val="20"/>
                <w:color w:val="auto"/>
              </w:rPr>
            </w:pPr>
            <w:r>
              <w:rPr>
                <w:rFonts w:ascii="Arial" w:cs="Arial" w:eastAsia="Arial" w:hAnsi="Arial"/>
                <w:sz w:val="17"/>
                <w:szCs w:val="17"/>
                <w:color w:val="auto"/>
              </w:rPr>
              <w:t>Net loss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(5,444,203)</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(7,335,190)</w:t>
            </w:r>
          </w:p>
        </w:tc>
      </w:tr>
      <w:tr>
        <w:trPr>
          <w:trHeight w:val="201"/>
        </w:trPr>
        <w:tc>
          <w:tcPr>
            <w:tcW w:w="8680" w:type="dxa"/>
            <w:vAlign w:val="bottom"/>
          </w:tcPr>
          <w:p>
            <w:pPr>
              <w:ind w:left="40"/>
              <w:spacing w:after="0"/>
              <w:rPr>
                <w:sz w:val="20"/>
                <w:szCs w:val="20"/>
                <w:color w:val="auto"/>
              </w:rPr>
            </w:pPr>
            <w:r>
              <w:rPr>
                <w:rFonts w:ascii="Arial" w:cs="Arial" w:eastAsia="Arial" w:hAnsi="Arial"/>
                <w:sz w:val="17"/>
                <w:szCs w:val="17"/>
                <w:color w:val="auto"/>
              </w:rPr>
              <w:t>Adjustments to reconcile net loss to net cash flows provided</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7"/>
        </w:trPr>
        <w:tc>
          <w:tcPr>
            <w:tcW w:w="8680" w:type="dxa"/>
            <w:vAlign w:val="bottom"/>
          </w:tcPr>
          <w:p>
            <w:pPr>
              <w:ind w:left="160"/>
              <w:spacing w:after="0"/>
              <w:rPr>
                <w:sz w:val="20"/>
                <w:szCs w:val="20"/>
                <w:color w:val="auto"/>
              </w:rPr>
            </w:pPr>
            <w:r>
              <w:rPr>
                <w:rFonts w:ascii="Arial" w:cs="Arial" w:eastAsia="Arial" w:hAnsi="Arial"/>
                <w:sz w:val="17"/>
                <w:szCs w:val="17"/>
                <w:color w:val="auto"/>
              </w:rPr>
              <w:t>by (used in) operating activities: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0"/>
        </w:trPr>
        <w:tc>
          <w:tcPr>
            <w:tcW w:w="8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(gains) losses on sale of investments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(274,581)</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25,192</w:t>
            </w:r>
          </w:p>
        </w:tc>
        <w:tc>
          <w:tcPr>
            <w:tcW w:w="120" w:type="dxa"/>
            <w:vAlign w:val="bottom"/>
            <w:shd w:val="clear" w:color="auto" w:fill="CCEEFF"/>
          </w:tcPr>
          <w:p>
            <w:pPr>
              <w:spacing w:after="0"/>
              <w:rPr>
                <w:sz w:val="18"/>
                <w:szCs w:val="18"/>
                <w:color w:val="auto"/>
              </w:rPr>
            </w:pPr>
          </w:p>
        </w:tc>
      </w:tr>
      <w:tr>
        <w:trPr>
          <w:trHeight w:val="209"/>
        </w:trPr>
        <w:tc>
          <w:tcPr>
            <w:tcW w:w="8680" w:type="dxa"/>
            <w:vAlign w:val="bottom"/>
          </w:tcPr>
          <w:p>
            <w:pPr>
              <w:ind w:left="200"/>
              <w:spacing w:after="0"/>
              <w:rPr>
                <w:sz w:val="20"/>
                <w:szCs w:val="20"/>
                <w:color w:val="auto"/>
              </w:rPr>
            </w:pPr>
            <w:r>
              <w:rPr>
                <w:rFonts w:ascii="Arial" w:cs="Arial" w:eastAsia="Arial" w:hAnsi="Arial"/>
                <w:sz w:val="17"/>
                <w:szCs w:val="17"/>
                <w:color w:val="auto"/>
              </w:rPr>
              <w:t>Net unrealized losses (gains) of equity investments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6,121,608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(1,767,835)</w:t>
            </w:r>
          </w:p>
        </w:tc>
      </w:tr>
      <w:tr>
        <w:trPr>
          <w:trHeight w:val="209"/>
        </w:trPr>
        <w:tc>
          <w:tcPr>
            <w:tcW w:w="8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unrealized losses (gains) of other investments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597,391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(292,720)</w:t>
            </w:r>
          </w:p>
        </w:tc>
      </w:tr>
      <w:tr>
        <w:trPr>
          <w:trHeight w:val="209"/>
        </w:trPr>
        <w:tc>
          <w:tcPr>
            <w:tcW w:w="8680" w:type="dxa"/>
            <w:vAlign w:val="bottom"/>
          </w:tcPr>
          <w:p>
            <w:pPr>
              <w:ind w:left="200"/>
              <w:spacing w:after="0"/>
              <w:rPr>
                <w:sz w:val="20"/>
                <w:szCs w:val="20"/>
                <w:color w:val="auto"/>
              </w:rPr>
            </w:pPr>
            <w:r>
              <w:rPr>
                <w:rFonts w:ascii="Arial" w:cs="Arial" w:eastAsia="Arial" w:hAnsi="Arial"/>
                <w:sz w:val="17"/>
                <w:szCs w:val="17"/>
                <w:color w:val="auto"/>
              </w:rPr>
              <w:t>Depreciation and amortization</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687,094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602,332</w:t>
            </w:r>
          </w:p>
        </w:tc>
        <w:tc>
          <w:tcPr>
            <w:tcW w:w="120" w:type="dxa"/>
            <w:vAlign w:val="bottom"/>
          </w:tcPr>
          <w:p>
            <w:pPr>
              <w:spacing w:after="0"/>
              <w:rPr>
                <w:sz w:val="18"/>
                <w:szCs w:val="18"/>
                <w:color w:val="auto"/>
              </w:rPr>
            </w:pPr>
          </w:p>
        </w:tc>
      </w:tr>
      <w:tr>
        <w:trPr>
          <w:trHeight w:val="209"/>
        </w:trPr>
        <w:tc>
          <w:tcPr>
            <w:tcW w:w="8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Bad debts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35,737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36,824</w:t>
            </w:r>
          </w:p>
        </w:tc>
        <w:tc>
          <w:tcPr>
            <w:tcW w:w="120" w:type="dxa"/>
            <w:vAlign w:val="bottom"/>
            <w:shd w:val="clear" w:color="auto" w:fill="CCEEFF"/>
          </w:tcPr>
          <w:p>
            <w:pPr>
              <w:spacing w:after="0"/>
              <w:rPr>
                <w:sz w:val="18"/>
                <w:szCs w:val="18"/>
                <w:color w:val="auto"/>
              </w:rPr>
            </w:pPr>
          </w:p>
        </w:tc>
      </w:tr>
      <w:tr>
        <w:trPr>
          <w:trHeight w:val="209"/>
        </w:trPr>
        <w:tc>
          <w:tcPr>
            <w:tcW w:w="8680" w:type="dxa"/>
            <w:vAlign w:val="bottom"/>
          </w:tcPr>
          <w:p>
            <w:pPr>
              <w:ind w:left="200"/>
              <w:spacing w:after="0"/>
              <w:rPr>
                <w:sz w:val="20"/>
                <w:szCs w:val="20"/>
                <w:color w:val="auto"/>
              </w:rPr>
            </w:pPr>
            <w:r>
              <w:rPr>
                <w:rFonts w:ascii="Arial" w:cs="Arial" w:eastAsia="Arial" w:hAnsi="Arial"/>
                <w:sz w:val="17"/>
                <w:szCs w:val="17"/>
                <w:color w:val="auto"/>
              </w:rPr>
              <w:t>Amortization of bond premium, net</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105,189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118,568</w:t>
            </w:r>
          </w:p>
        </w:tc>
        <w:tc>
          <w:tcPr>
            <w:tcW w:w="120" w:type="dxa"/>
            <w:vAlign w:val="bottom"/>
          </w:tcPr>
          <w:p>
            <w:pPr>
              <w:spacing w:after="0"/>
              <w:rPr>
                <w:sz w:val="18"/>
                <w:szCs w:val="18"/>
                <w:color w:val="auto"/>
              </w:rPr>
            </w:pPr>
          </w:p>
        </w:tc>
      </w:tr>
      <w:tr>
        <w:trPr>
          <w:trHeight w:val="209"/>
        </w:trPr>
        <w:tc>
          <w:tcPr>
            <w:tcW w:w="8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Amortization of discount and issuance costs on long-term debt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44,045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44,045</w:t>
            </w:r>
          </w:p>
        </w:tc>
        <w:tc>
          <w:tcPr>
            <w:tcW w:w="120" w:type="dxa"/>
            <w:vAlign w:val="bottom"/>
            <w:shd w:val="clear" w:color="auto" w:fill="CCEEFF"/>
          </w:tcPr>
          <w:p>
            <w:pPr>
              <w:spacing w:after="0"/>
              <w:rPr>
                <w:sz w:val="18"/>
                <w:szCs w:val="18"/>
                <w:color w:val="auto"/>
              </w:rPr>
            </w:pPr>
          </w:p>
        </w:tc>
      </w:tr>
      <w:tr>
        <w:trPr>
          <w:trHeight w:val="209"/>
        </w:trPr>
        <w:tc>
          <w:tcPr>
            <w:tcW w:w="8680" w:type="dxa"/>
            <w:vAlign w:val="bottom"/>
          </w:tcPr>
          <w:p>
            <w:pPr>
              <w:ind w:left="200"/>
              <w:spacing w:after="0"/>
              <w:rPr>
                <w:sz w:val="20"/>
                <w:szCs w:val="20"/>
                <w:color w:val="auto"/>
              </w:rPr>
            </w:pPr>
            <w:r>
              <w:rPr>
                <w:rFonts w:ascii="Arial" w:cs="Arial" w:eastAsia="Arial" w:hAnsi="Arial"/>
                <w:sz w:val="17"/>
                <w:szCs w:val="17"/>
                <w:color w:val="auto"/>
              </w:rPr>
              <w:t>Stock-based compensation</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487,450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309,882</w:t>
            </w:r>
          </w:p>
        </w:tc>
        <w:tc>
          <w:tcPr>
            <w:tcW w:w="120" w:type="dxa"/>
            <w:vAlign w:val="bottom"/>
          </w:tcPr>
          <w:p>
            <w:pPr>
              <w:spacing w:after="0"/>
              <w:rPr>
                <w:sz w:val="18"/>
                <w:szCs w:val="18"/>
                <w:color w:val="auto"/>
              </w:rPr>
            </w:pPr>
          </w:p>
        </w:tc>
      </w:tr>
      <w:tr>
        <w:trPr>
          <w:trHeight w:val="209"/>
        </w:trPr>
        <w:tc>
          <w:tcPr>
            <w:tcW w:w="8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Deferred income tax expense</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397,593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510,533</w:t>
            </w:r>
          </w:p>
        </w:tc>
        <w:tc>
          <w:tcPr>
            <w:tcW w:w="120" w:type="dxa"/>
            <w:vAlign w:val="bottom"/>
            <w:shd w:val="clear" w:color="auto" w:fill="CCEEFF"/>
          </w:tcPr>
          <w:p>
            <w:pPr>
              <w:spacing w:after="0"/>
              <w:rPr>
                <w:sz w:val="18"/>
                <w:szCs w:val="18"/>
                <w:color w:val="auto"/>
              </w:rPr>
            </w:pPr>
          </w:p>
        </w:tc>
      </w:tr>
      <w:tr>
        <w:trPr>
          <w:trHeight w:val="209"/>
        </w:trPr>
        <w:tc>
          <w:tcPr>
            <w:tcW w:w="8680" w:type="dxa"/>
            <w:vAlign w:val="bottom"/>
          </w:tcPr>
          <w:p>
            <w:pPr>
              <w:ind w:left="40"/>
              <w:spacing w:after="0"/>
              <w:rPr>
                <w:sz w:val="20"/>
                <w:szCs w:val="20"/>
                <w:color w:val="auto"/>
              </w:rPr>
            </w:pPr>
            <w:r>
              <w:rPr>
                <w:rFonts w:ascii="Arial" w:cs="Arial" w:eastAsia="Arial" w:hAnsi="Arial"/>
                <w:sz w:val="17"/>
                <w:szCs w:val="17"/>
                <w:color w:val="auto"/>
              </w:rPr>
              <w:t>(Increase) decrease in operating assets:</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8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Premiums receivable, net</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757,551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(286,973)</w:t>
            </w:r>
          </w:p>
        </w:tc>
      </w:tr>
      <w:tr>
        <w:trPr>
          <w:trHeight w:val="209"/>
        </w:trPr>
        <w:tc>
          <w:tcPr>
            <w:tcW w:w="8680" w:type="dxa"/>
            <w:vAlign w:val="bottom"/>
          </w:tcPr>
          <w:p>
            <w:pPr>
              <w:ind w:left="200"/>
              <w:spacing w:after="0"/>
              <w:rPr>
                <w:sz w:val="20"/>
                <w:szCs w:val="20"/>
                <w:color w:val="auto"/>
              </w:rPr>
            </w:pPr>
            <w:r>
              <w:rPr>
                <w:rFonts w:ascii="Arial" w:cs="Arial" w:eastAsia="Arial" w:hAnsi="Arial"/>
                <w:sz w:val="17"/>
                <w:szCs w:val="17"/>
                <w:color w:val="auto"/>
              </w:rPr>
              <w:t>Reinsurance receivables, net</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(1,958,517)</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209,478</w:t>
            </w:r>
          </w:p>
        </w:tc>
        <w:tc>
          <w:tcPr>
            <w:tcW w:w="120" w:type="dxa"/>
            <w:vAlign w:val="bottom"/>
          </w:tcPr>
          <w:p>
            <w:pPr>
              <w:spacing w:after="0"/>
              <w:rPr>
                <w:sz w:val="18"/>
                <w:szCs w:val="18"/>
                <w:color w:val="auto"/>
              </w:rPr>
            </w:pPr>
          </w:p>
        </w:tc>
      </w:tr>
      <w:tr>
        <w:trPr>
          <w:trHeight w:val="209"/>
        </w:trPr>
        <w:tc>
          <w:tcPr>
            <w:tcW w:w="8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Deferred policy acquisition costs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1,062,490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(246,544)</w:t>
            </w:r>
          </w:p>
        </w:tc>
      </w:tr>
      <w:tr>
        <w:trPr>
          <w:trHeight w:val="209"/>
        </w:trPr>
        <w:tc>
          <w:tcPr>
            <w:tcW w:w="8680" w:type="dxa"/>
            <w:vAlign w:val="bottom"/>
          </w:tcPr>
          <w:p>
            <w:pPr>
              <w:ind w:left="200"/>
              <w:spacing w:after="0"/>
              <w:rPr>
                <w:sz w:val="20"/>
                <w:szCs w:val="20"/>
                <w:color w:val="auto"/>
              </w:rPr>
            </w:pPr>
            <w:r>
              <w:rPr>
                <w:rFonts w:ascii="Arial" w:cs="Arial" w:eastAsia="Arial" w:hAnsi="Arial"/>
                <w:sz w:val="17"/>
                <w:szCs w:val="17"/>
                <w:color w:val="auto"/>
              </w:rPr>
              <w:t>Other assets</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(521,521)</w:t>
            </w: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(3,666,830)</w:t>
            </w:r>
          </w:p>
        </w:tc>
      </w:tr>
      <w:tr>
        <w:trPr>
          <w:trHeight w:val="209"/>
        </w:trPr>
        <w:tc>
          <w:tcPr>
            <w:tcW w:w="868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Increase (decrease) in operating liabilities: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9"/>
        </w:trPr>
        <w:tc>
          <w:tcPr>
            <w:tcW w:w="8680" w:type="dxa"/>
            <w:vAlign w:val="bottom"/>
          </w:tcPr>
          <w:p>
            <w:pPr>
              <w:ind w:left="200"/>
              <w:spacing w:after="0"/>
              <w:rPr>
                <w:sz w:val="20"/>
                <w:szCs w:val="20"/>
                <w:color w:val="auto"/>
              </w:rPr>
            </w:pPr>
            <w:r>
              <w:rPr>
                <w:rFonts w:ascii="Arial" w:cs="Arial" w:eastAsia="Arial" w:hAnsi="Arial"/>
                <w:sz w:val="17"/>
                <w:szCs w:val="17"/>
                <w:color w:val="auto"/>
              </w:rPr>
              <w:t>Loss and loss adjustment expense reserves</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(2,647,512)</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w w:val="98"/>
              </w:rPr>
              <w:t>12,913,165</w:t>
            </w:r>
          </w:p>
        </w:tc>
        <w:tc>
          <w:tcPr>
            <w:tcW w:w="120" w:type="dxa"/>
            <w:vAlign w:val="bottom"/>
          </w:tcPr>
          <w:p>
            <w:pPr>
              <w:spacing w:after="0"/>
              <w:rPr>
                <w:sz w:val="18"/>
                <w:szCs w:val="18"/>
                <w:color w:val="auto"/>
              </w:rPr>
            </w:pPr>
          </w:p>
        </w:tc>
      </w:tr>
      <w:tr>
        <w:trPr>
          <w:trHeight w:val="209"/>
        </w:trPr>
        <w:tc>
          <w:tcPr>
            <w:tcW w:w="8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Unearned premiums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(5,904,700)</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627,872</w:t>
            </w:r>
          </w:p>
        </w:tc>
        <w:tc>
          <w:tcPr>
            <w:tcW w:w="120" w:type="dxa"/>
            <w:vAlign w:val="bottom"/>
            <w:shd w:val="clear" w:color="auto" w:fill="CCEEFF"/>
          </w:tcPr>
          <w:p>
            <w:pPr>
              <w:spacing w:after="0"/>
              <w:rPr>
                <w:sz w:val="18"/>
                <w:szCs w:val="18"/>
                <w:color w:val="auto"/>
              </w:rPr>
            </w:pPr>
          </w:p>
        </w:tc>
      </w:tr>
      <w:tr>
        <w:trPr>
          <w:trHeight w:val="209"/>
        </w:trPr>
        <w:tc>
          <w:tcPr>
            <w:tcW w:w="8680" w:type="dxa"/>
            <w:vAlign w:val="bottom"/>
          </w:tcPr>
          <w:p>
            <w:pPr>
              <w:ind w:left="200"/>
              <w:spacing w:after="0"/>
              <w:rPr>
                <w:sz w:val="20"/>
                <w:szCs w:val="20"/>
                <w:color w:val="auto"/>
              </w:rPr>
            </w:pPr>
            <w:r>
              <w:rPr>
                <w:rFonts w:ascii="Arial" w:cs="Arial" w:eastAsia="Arial" w:hAnsi="Arial"/>
                <w:sz w:val="17"/>
                <w:szCs w:val="17"/>
                <w:color w:val="auto"/>
              </w:rPr>
              <w:t>Advance premiums</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(47,633)</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956,784</w:t>
            </w:r>
          </w:p>
        </w:tc>
        <w:tc>
          <w:tcPr>
            <w:tcW w:w="120" w:type="dxa"/>
            <w:vAlign w:val="bottom"/>
          </w:tcPr>
          <w:p>
            <w:pPr>
              <w:spacing w:after="0"/>
              <w:rPr>
                <w:sz w:val="18"/>
                <w:szCs w:val="18"/>
                <w:color w:val="auto"/>
              </w:rPr>
            </w:pPr>
          </w:p>
        </w:tc>
      </w:tr>
      <w:tr>
        <w:trPr>
          <w:trHeight w:val="209"/>
        </w:trPr>
        <w:tc>
          <w:tcPr>
            <w:tcW w:w="8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Reinsurance balances payable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(6,377,437)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(731,445)</w:t>
            </w:r>
          </w:p>
        </w:tc>
      </w:tr>
      <w:tr>
        <w:trPr>
          <w:trHeight w:val="209"/>
        </w:trPr>
        <w:tc>
          <w:tcPr>
            <w:tcW w:w="8680" w:type="dxa"/>
            <w:vAlign w:val="bottom"/>
          </w:tcPr>
          <w:p>
            <w:pPr>
              <w:ind w:left="200"/>
              <w:spacing w:after="0"/>
              <w:rPr>
                <w:sz w:val="20"/>
                <w:szCs w:val="20"/>
                <w:color w:val="auto"/>
              </w:rPr>
            </w:pPr>
            <w:r>
              <w:rPr>
                <w:rFonts w:ascii="Arial" w:cs="Arial" w:eastAsia="Arial" w:hAnsi="Arial"/>
                <w:sz w:val="17"/>
                <w:szCs w:val="17"/>
                <w:color w:val="auto"/>
              </w:rPr>
              <w:t>Deferred ceding commission revenue</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(799,997)</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58,710</w:t>
            </w:r>
          </w:p>
        </w:tc>
        <w:tc>
          <w:tcPr>
            <w:tcW w:w="120" w:type="dxa"/>
            <w:vAlign w:val="bottom"/>
          </w:tcPr>
          <w:p>
            <w:pPr>
              <w:spacing w:after="0"/>
              <w:rPr>
                <w:sz w:val="18"/>
                <w:szCs w:val="18"/>
                <w:color w:val="auto"/>
              </w:rPr>
            </w:pPr>
          </w:p>
        </w:tc>
      </w:tr>
      <w:tr>
        <w:trPr>
          <w:trHeight w:val="209"/>
        </w:trPr>
        <w:tc>
          <w:tcPr>
            <w:tcW w:w="8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Accounts payable, accrued expenses and other liabilities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(1,576,461)</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616,556</w:t>
            </w:r>
          </w:p>
        </w:tc>
        <w:tc>
          <w:tcPr>
            <w:tcW w:w="120" w:type="dxa"/>
            <w:vAlign w:val="bottom"/>
            <w:shd w:val="clear" w:color="auto" w:fill="CCEEFF"/>
          </w:tcPr>
          <w:p>
            <w:pPr>
              <w:spacing w:after="0"/>
              <w:rPr>
                <w:sz w:val="18"/>
                <w:szCs w:val="18"/>
                <w:color w:val="auto"/>
              </w:rPr>
            </w:pPr>
          </w:p>
        </w:tc>
      </w:tr>
      <w:tr>
        <w:trPr>
          <w:trHeight w:val="26"/>
        </w:trPr>
        <w:tc>
          <w:tcPr>
            <w:tcW w:w="86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5"/>
        </w:trPr>
        <w:tc>
          <w:tcPr>
            <w:tcW w:w="8680" w:type="dxa"/>
            <w:vAlign w:val="bottom"/>
          </w:tcPr>
          <w:p>
            <w:pPr>
              <w:ind w:left="40"/>
              <w:spacing w:after="0"/>
              <w:rPr>
                <w:sz w:val="20"/>
                <w:szCs w:val="20"/>
                <w:color w:val="auto"/>
              </w:rPr>
            </w:pPr>
            <w:r>
              <w:rPr>
                <w:rFonts w:ascii="Arial" w:cs="Arial" w:eastAsia="Arial" w:hAnsi="Arial"/>
                <w:sz w:val="17"/>
                <w:szCs w:val="17"/>
                <w:b w:val="1"/>
                <w:bCs w:val="1"/>
                <w:color w:val="auto"/>
              </w:rPr>
              <w:t>Net cash flows (used in) provided by operating activities</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w w:val="97"/>
              </w:rPr>
              <w:t>(15,256,414)</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2,702,404</w:t>
            </w:r>
          </w:p>
        </w:tc>
        <w:tc>
          <w:tcPr>
            <w:tcW w:w="120" w:type="dxa"/>
            <w:vAlign w:val="bottom"/>
          </w:tcPr>
          <w:p>
            <w:pPr>
              <w:spacing w:after="0"/>
              <w:rPr>
                <w:sz w:val="18"/>
                <w:szCs w:val="18"/>
                <w:color w:val="auto"/>
              </w:rPr>
            </w:pPr>
          </w:p>
        </w:tc>
      </w:tr>
      <w:tr>
        <w:trPr>
          <w:trHeight w:val="209"/>
        </w:trPr>
        <w:tc>
          <w:tcPr>
            <w:tcW w:w="86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9"/>
        </w:trPr>
        <w:tc>
          <w:tcPr>
            <w:tcW w:w="8680" w:type="dxa"/>
            <w:vAlign w:val="bottom"/>
          </w:tcPr>
          <w:p>
            <w:pPr>
              <w:ind w:left="40"/>
              <w:spacing w:after="0"/>
              <w:rPr>
                <w:sz w:val="20"/>
                <w:szCs w:val="20"/>
                <w:color w:val="auto"/>
              </w:rPr>
            </w:pPr>
            <w:r>
              <w:rPr>
                <w:rFonts w:ascii="Arial" w:cs="Arial" w:eastAsia="Arial" w:hAnsi="Arial"/>
                <w:sz w:val="17"/>
                <w:szCs w:val="17"/>
                <w:b w:val="1"/>
                <w:bCs w:val="1"/>
                <w:color w:val="auto"/>
              </w:rPr>
              <w:t>Cash flows from investing activities</w:t>
            </w: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8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Purchase - fixed-maturity securities available-for-sale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(961,000)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(6,094,835)</w:t>
            </w:r>
          </w:p>
        </w:tc>
      </w:tr>
      <w:tr>
        <w:trPr>
          <w:trHeight w:val="209"/>
        </w:trPr>
        <w:tc>
          <w:tcPr>
            <w:tcW w:w="8680" w:type="dxa"/>
            <w:vAlign w:val="bottom"/>
          </w:tcPr>
          <w:p>
            <w:pPr>
              <w:ind w:left="200"/>
              <w:spacing w:after="0"/>
              <w:rPr>
                <w:sz w:val="20"/>
                <w:szCs w:val="20"/>
                <w:color w:val="auto"/>
              </w:rPr>
            </w:pPr>
            <w:r>
              <w:rPr>
                <w:rFonts w:ascii="Arial" w:cs="Arial" w:eastAsia="Arial" w:hAnsi="Arial"/>
                <w:sz w:val="17"/>
                <w:szCs w:val="17"/>
                <w:color w:val="auto"/>
              </w:rPr>
              <w:t>Purchase - equity securities</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(5,220,778)</w:t>
            </w: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(1,604,615)</w:t>
            </w:r>
          </w:p>
        </w:tc>
      </w:tr>
      <w:tr>
        <w:trPr>
          <w:trHeight w:val="209"/>
        </w:trPr>
        <w:tc>
          <w:tcPr>
            <w:tcW w:w="8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Sale and redemption - fixed-maturity securities held-to-maturity</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400,000</w:t>
            </w:r>
          </w:p>
        </w:tc>
        <w:tc>
          <w:tcPr>
            <w:tcW w:w="120" w:type="dxa"/>
            <w:vAlign w:val="bottom"/>
            <w:shd w:val="clear" w:color="auto" w:fill="CCEEFF"/>
          </w:tcPr>
          <w:p>
            <w:pPr>
              <w:spacing w:after="0"/>
              <w:rPr>
                <w:sz w:val="18"/>
                <w:szCs w:val="18"/>
                <w:color w:val="auto"/>
              </w:rPr>
            </w:pPr>
          </w:p>
        </w:tc>
      </w:tr>
      <w:tr>
        <w:trPr>
          <w:trHeight w:val="209"/>
        </w:trPr>
        <w:tc>
          <w:tcPr>
            <w:tcW w:w="8680" w:type="dxa"/>
            <w:vAlign w:val="bottom"/>
          </w:tcPr>
          <w:p>
            <w:pPr>
              <w:ind w:left="200"/>
              <w:spacing w:after="0"/>
              <w:rPr>
                <w:sz w:val="20"/>
                <w:szCs w:val="20"/>
                <w:color w:val="auto"/>
              </w:rPr>
            </w:pPr>
            <w:r>
              <w:rPr>
                <w:rFonts w:ascii="Arial" w:cs="Arial" w:eastAsia="Arial" w:hAnsi="Arial"/>
                <w:sz w:val="17"/>
                <w:szCs w:val="17"/>
                <w:color w:val="auto"/>
              </w:rPr>
              <w:t>Sale or maturity - fixed-maturity securities available-for-sale</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10,553,818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1,505,382</w:t>
            </w:r>
          </w:p>
        </w:tc>
        <w:tc>
          <w:tcPr>
            <w:tcW w:w="120" w:type="dxa"/>
            <w:vAlign w:val="bottom"/>
          </w:tcPr>
          <w:p>
            <w:pPr>
              <w:spacing w:after="0"/>
              <w:rPr>
                <w:sz w:val="18"/>
                <w:szCs w:val="18"/>
                <w:color w:val="auto"/>
              </w:rPr>
            </w:pPr>
          </w:p>
        </w:tc>
      </w:tr>
      <w:tr>
        <w:trPr>
          <w:trHeight w:val="209"/>
        </w:trPr>
        <w:tc>
          <w:tcPr>
            <w:tcW w:w="8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Sale - equity securities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5,518,428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246,047</w:t>
            </w:r>
          </w:p>
        </w:tc>
        <w:tc>
          <w:tcPr>
            <w:tcW w:w="120" w:type="dxa"/>
            <w:vAlign w:val="bottom"/>
            <w:shd w:val="clear" w:color="auto" w:fill="CCEEFF"/>
          </w:tcPr>
          <w:p>
            <w:pPr>
              <w:spacing w:after="0"/>
              <w:rPr>
                <w:sz w:val="18"/>
                <w:szCs w:val="18"/>
                <w:color w:val="auto"/>
              </w:rPr>
            </w:pPr>
          </w:p>
        </w:tc>
      </w:tr>
      <w:tr>
        <w:trPr>
          <w:trHeight w:val="209"/>
        </w:trPr>
        <w:tc>
          <w:tcPr>
            <w:tcW w:w="8680" w:type="dxa"/>
            <w:vAlign w:val="bottom"/>
          </w:tcPr>
          <w:p>
            <w:pPr>
              <w:ind w:left="200"/>
              <w:spacing w:after="0"/>
              <w:rPr>
                <w:sz w:val="20"/>
                <w:szCs w:val="20"/>
                <w:color w:val="auto"/>
              </w:rPr>
            </w:pPr>
            <w:r>
              <w:rPr>
                <w:rFonts w:ascii="Arial" w:cs="Arial" w:eastAsia="Arial" w:hAnsi="Arial"/>
                <w:sz w:val="17"/>
                <w:szCs w:val="17"/>
                <w:color w:val="auto"/>
              </w:rPr>
              <w:t>Acquisition of property and equipment</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(432,112)</w:t>
            </w: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(1,048,604)</w:t>
            </w:r>
          </w:p>
        </w:tc>
      </w:tr>
      <w:tr>
        <w:trPr>
          <w:trHeight w:val="209"/>
        </w:trPr>
        <w:tc>
          <w:tcPr>
            <w:tcW w:w="8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 investing activities</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(287,733)</w:t>
            </w:r>
          </w:p>
        </w:tc>
      </w:tr>
      <w:tr>
        <w:trPr>
          <w:trHeight w:val="26"/>
        </w:trPr>
        <w:tc>
          <w:tcPr>
            <w:tcW w:w="86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5"/>
        </w:trPr>
        <w:tc>
          <w:tcPr>
            <w:tcW w:w="8680" w:type="dxa"/>
            <w:vAlign w:val="bottom"/>
          </w:tcPr>
          <w:p>
            <w:pPr>
              <w:ind w:left="40"/>
              <w:spacing w:after="0"/>
              <w:rPr>
                <w:sz w:val="20"/>
                <w:szCs w:val="20"/>
                <w:color w:val="auto"/>
              </w:rPr>
            </w:pPr>
            <w:r>
              <w:rPr>
                <w:rFonts w:ascii="Arial" w:cs="Arial" w:eastAsia="Arial" w:hAnsi="Arial"/>
                <w:sz w:val="17"/>
                <w:szCs w:val="17"/>
                <w:b w:val="1"/>
                <w:bCs w:val="1"/>
                <w:color w:val="auto"/>
              </w:rPr>
              <w:t>Net cash flows provided by (used in) investing activitie</w:t>
            </w:r>
            <w:r>
              <w:rPr>
                <w:rFonts w:ascii="Arial" w:cs="Arial" w:eastAsia="Arial" w:hAnsi="Arial"/>
                <w:sz w:val="17"/>
                <w:szCs w:val="17"/>
                <w:color w:val="auto"/>
              </w:rPr>
              <w:t>s</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9,458,356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(6,884,358)</w:t>
            </w:r>
          </w:p>
        </w:tc>
      </w:tr>
      <w:tr>
        <w:trPr>
          <w:trHeight w:val="209"/>
        </w:trPr>
        <w:tc>
          <w:tcPr>
            <w:tcW w:w="86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9"/>
        </w:trPr>
        <w:tc>
          <w:tcPr>
            <w:tcW w:w="8680" w:type="dxa"/>
            <w:vAlign w:val="bottom"/>
          </w:tcPr>
          <w:p>
            <w:pPr>
              <w:ind w:left="40"/>
              <w:spacing w:after="0"/>
              <w:rPr>
                <w:sz w:val="20"/>
                <w:szCs w:val="20"/>
                <w:color w:val="auto"/>
              </w:rPr>
            </w:pPr>
            <w:r>
              <w:rPr>
                <w:rFonts w:ascii="Arial" w:cs="Arial" w:eastAsia="Arial" w:hAnsi="Arial"/>
                <w:sz w:val="17"/>
                <w:szCs w:val="17"/>
                <w:b w:val="1"/>
                <w:bCs w:val="1"/>
                <w:color w:val="auto"/>
              </w:rPr>
              <w:t>Cash flows from financing activities</w:t>
            </w: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8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Withholding taxes paid on vested retricted stock awards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(87,954)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(116,007)</w:t>
            </w:r>
          </w:p>
        </w:tc>
      </w:tr>
      <w:tr>
        <w:trPr>
          <w:trHeight w:val="209"/>
        </w:trPr>
        <w:tc>
          <w:tcPr>
            <w:tcW w:w="8680" w:type="dxa"/>
            <w:vAlign w:val="bottom"/>
          </w:tcPr>
          <w:p>
            <w:pPr>
              <w:ind w:left="200"/>
              <w:spacing w:after="0"/>
              <w:rPr>
                <w:sz w:val="20"/>
                <w:szCs w:val="20"/>
                <w:color w:val="auto"/>
              </w:rPr>
            </w:pPr>
            <w:r>
              <w:rPr>
                <w:rFonts w:ascii="Arial" w:cs="Arial" w:eastAsia="Arial" w:hAnsi="Arial"/>
                <w:sz w:val="17"/>
                <w:szCs w:val="17"/>
                <w:color w:val="auto"/>
              </w:rPr>
              <w:t>Purchase of treasury stock</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(242,724)</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r>
      <w:tr>
        <w:trPr>
          <w:trHeight w:val="209"/>
        </w:trPr>
        <w:tc>
          <w:tcPr>
            <w:tcW w:w="8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Dividends paid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(675,960)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(1,075,962)</w:t>
            </w:r>
          </w:p>
        </w:tc>
      </w:tr>
      <w:tr>
        <w:trPr>
          <w:trHeight w:val="26"/>
        </w:trPr>
        <w:tc>
          <w:tcPr>
            <w:tcW w:w="86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5"/>
        </w:trPr>
        <w:tc>
          <w:tcPr>
            <w:tcW w:w="8680" w:type="dxa"/>
            <w:vAlign w:val="bottom"/>
          </w:tcPr>
          <w:p>
            <w:pPr>
              <w:ind w:left="40"/>
              <w:spacing w:after="0"/>
              <w:rPr>
                <w:sz w:val="20"/>
                <w:szCs w:val="20"/>
                <w:color w:val="auto"/>
              </w:rPr>
            </w:pPr>
            <w:r>
              <w:rPr>
                <w:rFonts w:ascii="Arial" w:cs="Arial" w:eastAsia="Arial" w:hAnsi="Arial"/>
                <w:sz w:val="17"/>
                <w:szCs w:val="17"/>
                <w:b w:val="1"/>
                <w:bCs w:val="1"/>
                <w:color w:val="auto"/>
              </w:rPr>
              <w:t>Net cash flows used in financing activitie</w:t>
            </w:r>
            <w:r>
              <w:rPr>
                <w:rFonts w:ascii="Arial" w:cs="Arial" w:eastAsia="Arial" w:hAnsi="Arial"/>
                <w:sz w:val="17"/>
                <w:szCs w:val="17"/>
                <w:color w:val="auto"/>
              </w:rPr>
              <w:t>s</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(1,006,638)</w:t>
            </w: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(1,191,969)</w:t>
            </w:r>
          </w:p>
        </w:tc>
      </w:tr>
      <w:tr>
        <w:trPr>
          <w:trHeight w:val="209"/>
        </w:trPr>
        <w:tc>
          <w:tcPr>
            <w:tcW w:w="86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9"/>
        </w:trPr>
        <w:tc>
          <w:tcPr>
            <w:tcW w:w="8680" w:type="dxa"/>
            <w:vAlign w:val="bottom"/>
          </w:tcPr>
          <w:p>
            <w:pPr>
              <w:ind w:left="200"/>
              <w:spacing w:after="0"/>
              <w:rPr>
                <w:sz w:val="20"/>
                <w:szCs w:val="20"/>
                <w:color w:val="auto"/>
              </w:rPr>
            </w:pPr>
            <w:r>
              <w:rPr>
                <w:rFonts w:ascii="Arial" w:cs="Arial" w:eastAsia="Arial" w:hAnsi="Arial"/>
                <w:sz w:val="17"/>
                <w:szCs w:val="17"/>
                <w:color w:val="auto"/>
              </w:rPr>
              <w:t>Decrease in cash and cash equivalents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(6,804,696)</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(5,373,923)</w:t>
            </w:r>
          </w:p>
        </w:tc>
      </w:tr>
      <w:tr>
        <w:trPr>
          <w:trHeight w:val="215"/>
        </w:trPr>
        <w:tc>
          <w:tcPr>
            <w:tcW w:w="8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Cash and cash equivalents, beginning of period</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32,391,485</w:t>
            </w:r>
          </w:p>
        </w:tc>
        <w:tc>
          <w:tcPr>
            <w:tcW w:w="2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21,138,403</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8680" w:type="dxa"/>
            <w:vAlign w:val="bottom"/>
          </w:tcPr>
          <w:p>
            <w:pPr>
              <w:ind w:left="40"/>
              <w:spacing w:after="0"/>
              <w:rPr>
                <w:sz w:val="20"/>
                <w:szCs w:val="20"/>
                <w:color w:val="auto"/>
              </w:rPr>
            </w:pPr>
            <w:r>
              <w:rPr>
                <w:rFonts w:ascii="Arial" w:cs="Arial" w:eastAsia="Arial" w:hAnsi="Arial"/>
                <w:sz w:val="17"/>
                <w:szCs w:val="17"/>
                <w:b w:val="1"/>
                <w:bCs w:val="1"/>
                <w:color w:val="auto"/>
              </w:rPr>
              <w:t>Cash and cash equivalents,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25,586,789</w:t>
            </w:r>
          </w:p>
        </w:tc>
        <w:tc>
          <w:tcPr>
            <w:tcW w:w="260" w:type="dxa"/>
            <w:vAlign w:val="bottom"/>
          </w:tcPr>
          <w:p>
            <w:pPr>
              <w:spacing w:after="0"/>
              <w:rPr>
                <w:sz w:val="18"/>
                <w:szCs w:val="18"/>
                <w:color w:val="auto"/>
              </w:rPr>
            </w:pPr>
          </w:p>
        </w:tc>
        <w:tc>
          <w:tcPr>
            <w:tcW w:w="2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15,764,480</w:t>
            </w:r>
          </w:p>
        </w:tc>
        <w:tc>
          <w:tcPr>
            <w:tcW w:w="120" w:type="dxa"/>
            <w:vAlign w:val="bottom"/>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1"/>
        </w:trPr>
        <w:tc>
          <w:tcPr>
            <w:tcW w:w="8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9"/>
        </w:trPr>
        <w:tc>
          <w:tcPr>
            <w:tcW w:w="8680" w:type="dxa"/>
            <w:vAlign w:val="bottom"/>
          </w:tcPr>
          <w:p>
            <w:pPr>
              <w:ind w:left="40"/>
              <w:spacing w:after="0"/>
              <w:rPr>
                <w:sz w:val="20"/>
                <w:szCs w:val="20"/>
                <w:color w:val="auto"/>
              </w:rPr>
            </w:pPr>
            <w:r>
              <w:rPr>
                <w:rFonts w:ascii="Arial" w:cs="Arial" w:eastAsia="Arial" w:hAnsi="Arial"/>
                <w:sz w:val="17"/>
                <w:szCs w:val="17"/>
                <w:b w:val="1"/>
                <w:bCs w:val="1"/>
                <w:color w:val="auto"/>
              </w:rPr>
              <w:t>Supplemental disclosures of cash flow information:</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8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Cash paid for income taxes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r>
      <w:tr>
        <w:trPr>
          <w:trHeight w:val="215"/>
        </w:trPr>
        <w:tc>
          <w:tcPr>
            <w:tcW w:w="8680" w:type="dxa"/>
            <w:vAlign w:val="bottom"/>
          </w:tcPr>
          <w:p>
            <w:pPr>
              <w:ind w:left="200"/>
              <w:spacing w:after="0"/>
              <w:rPr>
                <w:sz w:val="20"/>
                <w:szCs w:val="20"/>
                <w:color w:val="auto"/>
              </w:rPr>
            </w:pPr>
            <w:r>
              <w:rPr>
                <w:rFonts w:ascii="Arial" w:cs="Arial" w:eastAsia="Arial" w:hAnsi="Arial"/>
                <w:sz w:val="17"/>
                <w:szCs w:val="17"/>
                <w:color w:val="auto"/>
              </w:rPr>
              <w:t>Cash paid for interest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See accompanying notes to condensed consolidated financial statements.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KINGSTONE COMPANIES,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 Nature of Business and Basis of Presentation</w:t>
      </w:r>
    </w:p>
    <w:p>
      <w:pPr>
        <w:spacing w:after="0" w:line="161"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Kingstone Companies, Inc. (referred to herein as "Kingstone" or the “Company”), through its wholly owned subsidiary, Kingstone Insurance Company (“KICO”), underwrites property and casualty insurance exclusively through retail and wholesale agents and brokers. KICO is a licensed insurance company in the States of New York, New Jersey, Rhode Island, Massachusetts, Pennsylvania, Connecticut, Maine and New Hampshire. KICO is currently offering its property and casualty insurance products in New York, New Jersey, Rhode Island, Massachusetts, and Connecticut. Although New Jersey, Rhode Island, Massachusetts and Connecticut continue to be growing markets for the Company, 82.7% and 91.4% of KICO’s direct written premiums for the three months ended March 31, 2020 and 2019, respectively, came from the New York policies. Kingstone, through its wholly owned subsidiary, Cosi Agency, Inc. (“Cosi”), a multi-state licensed general agency, accesses alternate forms of distribution outside of the independent agent and broker network, through which KICO currently distributes its various products. Kingstone (through Cosi) now has the opportunity to partner with name-brand carriers and access nationwide insurance agencies.</w:t>
      </w:r>
    </w:p>
    <w:p>
      <w:pPr>
        <w:spacing w:after="0" w:line="97"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The accompanying unaudited condensed consolidated financial statements have been prepared in accordance with U.S. generally accepted accounting principles (“GAAP”). The principles for condensed interim financial information do not require the inclusion of all the information and footnotes required by GAAP for complete financial statements. Therefore, these condensed consolidated financial statements should be read in conjunction with the consolidated financial statements as of and for the year ended December 31, 2019 and notes thereto included in the Company’s Annual Report on Form 10-K filed with the SEC on March 16, 2020. The accompanying condensed consolidated financial statements have not been audited by an independent registered public accounting firm in accordance with standards of the Public Company Accounting Oversight Board (United States) but, in the opinion of management, such financial statements include all adjustments, consisting only of normal recurring adjustments, necessary for a fair presentation of the Company’s financial position and results of operations. The results of operations for the three months ended March 31, 2020 may not be indicative of the results that may be expected for the year ending December 31, 2020.</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 Accounting Policies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Use of Estimates</w:t>
      </w:r>
    </w:p>
    <w:p>
      <w:pPr>
        <w:spacing w:after="0" w:line="22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these estimates and assumptions, which include the reserves for losses and loss adjustment expenses, and are subject to estimation errors due to the inherent uncertainty in projecting ultimate claim amounts that will be reported and settled over a period of many years. In addition, estimates and assumptions associated with receivables under reinsurance contracts related to contingent ceding commission revenue require judgments by management. On an ongoing basis, management reevaluates its assumptions and the methods for calculating these estimates. Actual results may differ significantly from the estimates and assumptions used in preparing the consolidated financial statements.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u w:val="single" w:color="auto"/>
          <w:color w:val="auto"/>
        </w:rPr>
        <w:t>Principles of Consolidation</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accompanying condensed consolidated financial statements consist of Kingstone and its following wholly owned subsidiaries: (1) KICO and its wholly owned subsidiaries, CMIC Properties, Inc. (“Properties”) and 15 Joys Lane, LLC (“15 Joys Lane”), which together own the land and building from which KICO operates, and (2) Cosi. All significant intercompany account balances and transactions have been eliminated in consolidation.</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Accounting Changes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auto"/>
        </w:rPr>
        <w:t>The Company has determined that it was not subject to any new accounting pronouncements that became effective during the three months ended March 31, 2020.</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Accounting Pronouncements</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 June 2016, the Financial Accounting Standards Board (the “FASB”) issued Accounting Standards Update (“ASU”) 2016-13 - Financial Instruments - Credit Losses (Topic 326): Measurement of Credit Losses on Financial Instruments (“ASU 2016-13”). The revised accounting guidance requires the measurement of all expected credit losses for financial assets held at the reporting date based on historical experience, current conditions, and reasonable and supportable forecasts and requires enhanced disclosures related to the significant estimates and judgments used in estimating credit losses, as well as the credit quality and underwriting standards of an organization’s portfolio. In addition, ASU 2016-13 amends the accounting for credit losses of available-for-sale debt securities and purchased financial assets with credit deterioration. ASU 2016-13 will be effective for the Company on January 1, 2023. The Company is currently evaluating the effect the updated guidance will have on its condensed consolidated financial statements.</w:t>
      </w:r>
    </w:p>
    <w:p>
      <w:pPr>
        <w:spacing w:after="0" w:line="110"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In December 2019, the FASB issued ASU 2019-12, Income Taxes - Simplifying the Accounting for Income Taxes (“ASU 2019-12”). Among other items, the amendments in ASU 2019-12 simplify the accounting treatment of tax law changes and year-to-date losses in interim periods. An entity generally recognizes the effects of a change in tax law in the period of enactment; however, there is an exception for tax laws with delayed effective dates. Under current guidance, an entity may not adjust its annual effective tax rate for a tax law change until the period in which the law is effective. This exception was removed under ASU 2019-12, thereby providing that all effects of a tax law change are recognized in the period of enactment, including adjustment of the estimated annual effective tax rate. Regarding year-to-date losses in interim periods, an entity is required to estimate its annual effective tax rate for the full fiscal year at the end of each interim period and use that rate to calculate its income taxes on a year-to-date basis. However, current guidance provides an exception that when a loss in an interim period exceeds the anticipated loss for the year, the income tax benefit is limited to the amount that would be recognized if the year-to-date loss were the anticipated loss for the full year. ASU 2019-12 removes this exception and provides that, in this situation, an entity would compute its income tax benefit at each interim period based on its estimated annual effective tax rate. ASU 2019-12 is effective for fiscal years beginning after December 15, 2020, including interim periods within those annual periods. Early adoption is permitted. The Company is currently evaluating the impact of this guidance on its financial condition and results of operations.</w:t>
      </w:r>
    </w:p>
    <w:p>
      <w:pPr>
        <w:spacing w:after="0" w:line="104"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Company has determined that all other recently issued accounting pronouncements will not have a material impact on its consolidated financial position, results of operations and cash flows, or do not apply to its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color w:val="auto"/>
        </w:rPr>
        <w:t>Note 3 - Investments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Fixed-Maturity Securities</w:t>
      </w:r>
    </w:p>
    <w:p>
      <w:pPr>
        <w:spacing w:after="0" w:line="223" w:lineRule="exact"/>
        <w:rPr>
          <w:sz w:val="20"/>
          <w:szCs w:val="20"/>
          <w:color w:val="auto"/>
        </w:rPr>
      </w:pPr>
    </w:p>
    <w:p>
      <w:pPr>
        <w:spacing w:after="0" w:line="281" w:lineRule="auto"/>
        <w:rPr>
          <w:sz w:val="20"/>
          <w:szCs w:val="20"/>
          <w:color w:val="auto"/>
        </w:rPr>
      </w:pPr>
      <w:r>
        <w:rPr>
          <w:rFonts w:ascii="Arial" w:cs="Arial" w:eastAsia="Arial" w:hAnsi="Arial"/>
          <w:sz w:val="17"/>
          <w:szCs w:val="17"/>
          <w:color w:val="auto"/>
        </w:rPr>
        <w:t>The amortized cost, estimated fair value, and unrealized gains and losses of investments in fixed-maturity securities classified as available-for-sale as of March 31, 2020 and December 31, 2019 are summarized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6"/>
          </w:tcPr>
          <w:p>
            <w:pPr>
              <w:jc w:val="right"/>
              <w:ind w:right="680"/>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225"/>
        </w:trPr>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center"/>
              <w:ind w:right="101"/>
              <w:spacing w:after="0"/>
              <w:rPr>
                <w:sz w:val="20"/>
                <w:szCs w:val="20"/>
                <w:color w:val="auto"/>
              </w:rPr>
            </w:pPr>
            <w:r>
              <w:rPr>
                <w:rFonts w:ascii="Arial" w:cs="Arial" w:eastAsia="Arial" w:hAnsi="Arial"/>
                <w:sz w:val="14"/>
                <w:szCs w:val="14"/>
                <w:b w:val="1"/>
                <w:bCs w:val="1"/>
                <w:color w:val="auto"/>
                <w:w w:val="88"/>
              </w:rPr>
              <w:t>Net</w:t>
            </w:r>
          </w:p>
        </w:tc>
      </w:tr>
      <w:tr>
        <w:trPr>
          <w:trHeight w:val="209"/>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Cost or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Gross Unrealized Losses</w:t>
            </w:r>
          </w:p>
        </w:tc>
        <w:tc>
          <w:tcPr>
            <w:tcW w:w="10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Estimated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01"/>
              <w:spacing w:after="0"/>
              <w:rPr>
                <w:sz w:val="20"/>
                <w:szCs w:val="20"/>
                <w:color w:val="auto"/>
              </w:rPr>
            </w:pPr>
            <w:r>
              <w:rPr>
                <w:rFonts w:ascii="Arial" w:cs="Arial" w:eastAsia="Arial" w:hAnsi="Arial"/>
                <w:sz w:val="14"/>
                <w:szCs w:val="14"/>
                <w:b w:val="1"/>
                <w:bCs w:val="1"/>
                <w:color w:val="auto"/>
                <w:w w:val="95"/>
              </w:rPr>
              <w:t>Unrealized</w:t>
            </w:r>
          </w:p>
        </w:tc>
      </w:tr>
      <w:tr>
        <w:trPr>
          <w:trHeight w:val="180"/>
        </w:trPr>
        <w:tc>
          <w:tcPr>
            <w:tcW w:w="4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9"/>
              </w:rPr>
              <w:t>Less than 12</w:t>
            </w:r>
          </w:p>
        </w:tc>
        <w:tc>
          <w:tcPr>
            <w:tcW w:w="80" w:type="dxa"/>
            <w:vAlign w:val="bottom"/>
          </w:tcPr>
          <w:p>
            <w:pPr>
              <w:spacing w:after="0"/>
              <w:rPr>
                <w:sz w:val="15"/>
                <w:szCs w:val="15"/>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9"/>
              </w:rPr>
              <w:t>More than 12</w:t>
            </w:r>
          </w:p>
        </w:tc>
        <w:tc>
          <w:tcPr>
            <w:tcW w:w="100" w:type="dxa"/>
            <w:vAlign w:val="bottom"/>
          </w:tcPr>
          <w:p>
            <w:pPr>
              <w:spacing w:after="0"/>
              <w:rPr>
                <w:sz w:val="15"/>
                <w:szCs w:val="15"/>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101"/>
              <w:spacing w:after="0"/>
              <w:rPr>
                <w:sz w:val="20"/>
                <w:szCs w:val="20"/>
                <w:color w:val="auto"/>
              </w:rPr>
            </w:pPr>
            <w:r>
              <w:rPr>
                <w:rFonts w:ascii="Arial" w:cs="Arial" w:eastAsia="Arial" w:hAnsi="Arial"/>
                <w:sz w:val="14"/>
                <w:szCs w:val="14"/>
                <w:b w:val="1"/>
                <w:bCs w:val="1"/>
                <w:color w:val="auto"/>
                <w:w w:val="93"/>
              </w:rPr>
              <w:t>Gains/</w:t>
            </w:r>
          </w:p>
        </w:tc>
      </w:tr>
      <w:tr>
        <w:trPr>
          <w:trHeight w:val="176"/>
        </w:trPr>
        <w:tc>
          <w:tcPr>
            <w:tcW w:w="4500" w:type="dxa"/>
            <w:vAlign w:val="bottom"/>
          </w:tcPr>
          <w:p>
            <w:pPr>
              <w:spacing w:after="0"/>
              <w:rPr>
                <w:sz w:val="20"/>
                <w:szCs w:val="20"/>
                <w:color w:val="auto"/>
              </w:rPr>
            </w:pPr>
            <w:r>
              <w:rPr>
                <w:rFonts w:ascii="Arial" w:cs="Arial" w:eastAsia="Arial" w:hAnsi="Arial"/>
                <w:sz w:val="14"/>
                <w:szCs w:val="14"/>
                <w:b w:val="1"/>
                <w:bCs w:val="1"/>
                <w:color w:val="auto"/>
              </w:rPr>
              <w:t>Categor</w:t>
            </w:r>
            <w:r>
              <w:rPr>
                <w:rFonts w:ascii="Arial" w:cs="Arial" w:eastAsia="Arial" w:hAnsi="Arial"/>
                <w:sz w:val="14"/>
                <w:szCs w:val="14"/>
                <w:color w:val="auto"/>
              </w:rPr>
              <w:t>y</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Months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Months</w:t>
            </w:r>
          </w:p>
        </w:tc>
        <w:tc>
          <w:tcPr>
            <w:tcW w:w="100" w:type="dxa"/>
            <w:vAlign w:val="bottom"/>
          </w:tcPr>
          <w:p>
            <w:pPr>
              <w:spacing w:after="0"/>
              <w:rPr>
                <w:sz w:val="15"/>
                <w:szCs w:val="15"/>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101"/>
              <w:spacing w:after="0"/>
              <w:rPr>
                <w:sz w:val="20"/>
                <w:szCs w:val="20"/>
                <w:color w:val="auto"/>
              </w:rPr>
            </w:pPr>
            <w:r>
              <w:rPr>
                <w:rFonts w:ascii="Arial" w:cs="Arial" w:eastAsia="Arial" w:hAnsi="Arial"/>
                <w:sz w:val="14"/>
                <w:szCs w:val="14"/>
                <w:b w:val="1"/>
                <w:bCs w:val="1"/>
                <w:color w:val="auto"/>
                <w:w w:val="83"/>
              </w:rPr>
              <w:t>(Losses</w:t>
            </w:r>
            <w:r>
              <w:rPr>
                <w:rFonts w:ascii="Arial" w:cs="Arial" w:eastAsia="Arial" w:hAnsi="Arial"/>
                <w:sz w:val="14"/>
                <w:szCs w:val="14"/>
                <w:color w:val="auto"/>
                <w:w w:val="83"/>
              </w:rPr>
              <w:t>)</w:t>
            </w:r>
          </w:p>
        </w:tc>
      </w:tr>
      <w:tr>
        <w:trPr>
          <w:trHeight w:val="469"/>
        </w:trPr>
        <w:tc>
          <w:tcPr>
            <w:tcW w:w="450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Fixed-Maturity Securities:</w:t>
            </w:r>
          </w:p>
        </w:tc>
        <w:tc>
          <w:tcPr>
            <w:tcW w:w="1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r>
        <w:trPr>
          <w:trHeight w:val="202"/>
        </w:trPr>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w w:val="99"/>
              </w:rPr>
              <w:t>U.S. Treasury securities and obligations of U.S. government</w:t>
            </w:r>
          </w:p>
        </w:tc>
        <w:tc>
          <w:tcPr>
            <w:tcW w:w="12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r>
      <w:tr>
        <w:trPr>
          <w:trHeight w:val="218"/>
        </w:trPr>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corporations and agencies</w:t>
            </w: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  5,033,879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102,361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  5,136,240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102,361</w:t>
            </w:r>
          </w:p>
        </w:tc>
      </w:tr>
      <w:tr>
        <w:trPr>
          <w:trHeight w:val="235"/>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5"/>
        </w:trPr>
        <w:tc>
          <w:tcPr>
            <w:tcW w:w="4500" w:type="dxa"/>
            <w:vAlign w:val="bottom"/>
            <w:shd w:val="clear" w:color="auto" w:fill="CCEEFF"/>
          </w:tcPr>
          <w:p>
            <w:pPr>
              <w:ind w:left="60"/>
              <w:spacing w:after="0"/>
              <w:rPr>
                <w:sz w:val="20"/>
                <w:szCs w:val="20"/>
                <w:color w:val="auto"/>
              </w:rPr>
            </w:pPr>
            <w:r>
              <w:rPr>
                <w:rFonts w:ascii="Arial" w:cs="Arial" w:eastAsia="Arial" w:hAnsi="Arial"/>
                <w:sz w:val="17"/>
                <w:szCs w:val="17"/>
                <w:color w:val="auto"/>
                <w:w w:val="98"/>
              </w:rPr>
              <w:t>Political subdivisions of States, Territories and Possessions</w:t>
            </w: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9,139,221</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275,738</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9,414,959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275,738</w:t>
            </w:r>
          </w:p>
        </w:tc>
      </w:tr>
      <w:tr>
        <w:trPr>
          <w:trHeight w:val="235"/>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5"/>
        </w:trPr>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Corporate and other bonds Industrial and miscellaneous</w:t>
            </w: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112,871,652</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2,876,429</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8"/>
              </w:rPr>
              <w:t>(2,258,459)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113,489,622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617,970</w:t>
            </w:r>
          </w:p>
        </w:tc>
      </w:tr>
      <w:tr>
        <w:trPr>
          <w:trHeight w:val="235"/>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4"/>
        </w:trPr>
        <w:tc>
          <w:tcPr>
            <w:tcW w:w="4500" w:type="dxa"/>
            <w:vAlign w:val="bottom"/>
            <w:shd w:val="clear" w:color="auto" w:fill="CCEEFF"/>
          </w:tcPr>
          <w:p>
            <w:pPr>
              <w:ind w:left="40"/>
              <w:spacing w:after="0"/>
              <w:rPr>
                <w:sz w:val="20"/>
                <w:szCs w:val="20"/>
                <w:color w:val="auto"/>
              </w:rPr>
            </w:pPr>
            <w:r>
              <w:rPr>
                <w:rFonts w:ascii="Arial" w:cs="Arial" w:eastAsia="Arial" w:hAnsi="Arial"/>
                <w:sz w:val="17"/>
                <w:szCs w:val="17"/>
                <w:color w:val="auto"/>
                <w:w w:val="99"/>
              </w:rPr>
              <w:t>Residential mortgage and other asset backed securities (1)</w:t>
            </w:r>
          </w:p>
        </w:tc>
        <w:tc>
          <w:tcPr>
            <w:tcW w:w="120" w:type="dxa"/>
            <w:vAlign w:val="bottom"/>
            <w:tcBorders>
              <w:right w:val="single" w:sz="8" w:color="CCEEFF"/>
            </w:tcBorders>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25,631,027</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292,497</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(938,478)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4"/>
              </w:rPr>
              <w:t>(1,145,973)</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23,839,073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4"/>
              </w:rPr>
              <w:t>(1,791,954)</w:t>
            </w:r>
          </w:p>
        </w:tc>
      </w:tr>
      <w:tr>
        <w:trPr>
          <w:trHeight w:val="27"/>
        </w:trPr>
        <w:tc>
          <w:tcPr>
            <w:tcW w:w="450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r>
      <w:tr>
        <w:trPr>
          <w:trHeight w:val="209"/>
        </w:trPr>
        <w:tc>
          <w:tcPr>
            <w:tcW w:w="4500" w:type="dxa"/>
            <w:vAlign w:val="bottom"/>
          </w:tcPr>
          <w:p>
            <w:pPr>
              <w:ind w:left="40"/>
              <w:spacing w:after="0"/>
              <w:rPr>
                <w:sz w:val="20"/>
                <w:szCs w:val="20"/>
                <w:color w:val="auto"/>
              </w:rPr>
            </w:pPr>
            <w:r>
              <w:rPr>
                <w:rFonts w:ascii="Arial" w:cs="Arial" w:eastAsia="Arial" w:hAnsi="Arial"/>
                <w:sz w:val="17"/>
                <w:szCs w:val="17"/>
                <w:color w:val="auto"/>
              </w:rPr>
              <w:t>Total</w:t>
            </w:r>
          </w:p>
        </w:tc>
        <w:tc>
          <w:tcPr>
            <w:tcW w:w="102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96"/>
              </w:rPr>
              <w:t>$</w:t>
            </w:r>
            <w:r>
              <w:rPr>
                <w:rFonts w:ascii="Arial" w:cs="Arial" w:eastAsia="Arial" w:hAnsi="Arial"/>
                <w:sz w:val="17"/>
                <w:szCs w:val="17"/>
                <w:color w:val="auto"/>
                <w:w w:val="96"/>
              </w:rPr>
              <w:t>152,675,779</w:t>
            </w: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3,547,025</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w w:val="98"/>
              </w:rPr>
              <w:t>(3,196,937)</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w w:val="94"/>
              </w:rPr>
              <w:t>(1,145,973)</w:t>
            </w:r>
          </w:p>
        </w:tc>
        <w:tc>
          <w:tcPr>
            <w:tcW w:w="1100" w:type="dxa"/>
            <w:vAlign w:val="bottom"/>
            <w:gridSpan w:val="3"/>
          </w:tcPr>
          <w:p>
            <w:pPr>
              <w:jc w:val="right"/>
              <w:ind w:right="100"/>
              <w:spacing w:after="0"/>
              <w:rPr>
                <w:sz w:val="20"/>
                <w:szCs w:val="20"/>
                <w:color w:val="auto"/>
              </w:rPr>
            </w:pPr>
            <w:r>
              <w:rPr>
                <w:rFonts w:ascii="Arial" w:cs="Arial" w:eastAsia="Arial" w:hAnsi="Arial"/>
                <w:sz w:val="17"/>
                <w:szCs w:val="17"/>
                <w:u w:val="single" w:color="auto"/>
                <w:color w:val="auto"/>
                <w:w w:val="94"/>
              </w:rPr>
              <w:t>$</w:t>
            </w:r>
            <w:r>
              <w:rPr>
                <w:rFonts w:ascii="Arial" w:cs="Arial" w:eastAsia="Arial" w:hAnsi="Arial"/>
                <w:sz w:val="17"/>
                <w:szCs w:val="17"/>
                <w:color w:val="auto"/>
                <w:w w:val="94"/>
              </w:rPr>
              <w:t>151,879,894</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(795,885)</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jc w:val="both"/>
        <w:ind w:left="320" w:hanging="315"/>
        <w:spacing w:after="0" w:line="286" w:lineRule="auto"/>
        <w:tabs>
          <w:tab w:leader="none" w:pos="320" w:val="left"/>
        </w:tabs>
        <w:numPr>
          <w:ilvl w:val="0"/>
          <w:numId w:val="3"/>
        </w:numPr>
        <w:rPr>
          <w:rFonts w:ascii="Arial" w:cs="Arial" w:eastAsia="Arial" w:hAnsi="Arial"/>
          <w:sz w:val="16"/>
          <w:szCs w:val="16"/>
          <w:color w:val="auto"/>
        </w:rPr>
      </w:pPr>
      <w:r>
        <w:rPr>
          <w:rFonts w:ascii="Arial" w:cs="Arial" w:eastAsia="Arial" w:hAnsi="Arial"/>
          <w:sz w:val="16"/>
          <w:szCs w:val="16"/>
          <w:color w:val="auto"/>
        </w:rPr>
        <w:t>KICO has placed certain residential mortgage backed securities as eligible collateral in a designated custodian account related to its membership in the Federal Home Loan Bank of New York ("FHLBNY") (see Note 7). The eligible collateral would be pledged to FHLBNY if KICO draws an advance from the FHLBNY credit line. As of March 31, 2020, the estimated fair value of the eligible investments was approximately $7,287,000. KICO will retain all rights regarding all securities if pledged as collateral. As of March 31, 2020, there was no outstanding balance on the FHLBNY credit line.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6"/>
          </w:tcPr>
          <w:p>
            <w:pPr>
              <w:jc w:val="right"/>
              <w:ind w:right="56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143"/>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01"/>
              <w:spacing w:after="0" w:line="143" w:lineRule="exact"/>
              <w:rPr>
                <w:sz w:val="20"/>
                <w:szCs w:val="20"/>
                <w:color w:val="auto"/>
              </w:rPr>
            </w:pPr>
            <w:r>
              <w:rPr>
                <w:rFonts w:ascii="Arial" w:cs="Arial" w:eastAsia="Arial" w:hAnsi="Arial"/>
                <w:sz w:val="14"/>
                <w:szCs w:val="14"/>
                <w:b w:val="1"/>
                <w:bCs w:val="1"/>
                <w:color w:val="auto"/>
                <w:w w:val="88"/>
              </w:rPr>
              <w:t>Net</w:t>
            </w:r>
          </w:p>
        </w:tc>
      </w:tr>
      <w:tr>
        <w:trPr>
          <w:trHeight w:val="176"/>
        </w:trPr>
        <w:tc>
          <w:tcPr>
            <w:tcW w:w="4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Cost or</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8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Gross Unrealized Losses</w:t>
            </w:r>
          </w:p>
        </w:tc>
        <w:tc>
          <w:tcPr>
            <w:tcW w:w="100" w:type="dxa"/>
            <w:vAlign w:val="bottom"/>
          </w:tcPr>
          <w:p>
            <w:pPr>
              <w:spacing w:after="0"/>
              <w:rPr>
                <w:sz w:val="15"/>
                <w:szCs w:val="15"/>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Estimated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101"/>
              <w:spacing w:after="0"/>
              <w:rPr>
                <w:sz w:val="20"/>
                <w:szCs w:val="20"/>
                <w:color w:val="auto"/>
              </w:rPr>
            </w:pPr>
            <w:r>
              <w:rPr>
                <w:rFonts w:ascii="Arial" w:cs="Arial" w:eastAsia="Arial" w:hAnsi="Arial"/>
                <w:sz w:val="14"/>
                <w:szCs w:val="14"/>
                <w:b w:val="1"/>
                <w:bCs w:val="1"/>
                <w:color w:val="auto"/>
                <w:w w:val="95"/>
              </w:rPr>
              <w:t>Unrealized</w:t>
            </w:r>
          </w:p>
        </w:tc>
      </w:tr>
      <w:tr>
        <w:trPr>
          <w:trHeight w:val="143"/>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180"/>
              <w:spacing w:after="0" w:line="143" w:lineRule="exact"/>
              <w:rPr>
                <w:sz w:val="20"/>
                <w:szCs w:val="20"/>
                <w:color w:val="auto"/>
              </w:rPr>
            </w:pPr>
            <w:r>
              <w:rPr>
                <w:rFonts w:ascii="Arial" w:cs="Arial" w:eastAsia="Arial" w:hAnsi="Arial"/>
                <w:sz w:val="14"/>
                <w:szCs w:val="14"/>
                <w:b w:val="1"/>
                <w:bCs w:val="1"/>
                <w:color w:val="auto"/>
                <w:w w:val="89"/>
              </w:rPr>
              <w:t>Less than 12</w:t>
            </w: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spacing w:after="0" w:line="143" w:lineRule="exact"/>
              <w:rPr>
                <w:sz w:val="20"/>
                <w:szCs w:val="20"/>
                <w:color w:val="auto"/>
              </w:rPr>
            </w:pPr>
            <w:r>
              <w:rPr>
                <w:rFonts w:ascii="Arial" w:cs="Arial" w:eastAsia="Arial" w:hAnsi="Arial"/>
                <w:sz w:val="14"/>
                <w:szCs w:val="14"/>
                <w:b w:val="1"/>
                <w:bCs w:val="1"/>
                <w:color w:val="auto"/>
                <w:w w:val="99"/>
              </w:rPr>
              <w:t>More than 12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01"/>
              <w:spacing w:after="0" w:line="143" w:lineRule="exact"/>
              <w:rPr>
                <w:sz w:val="20"/>
                <w:szCs w:val="20"/>
                <w:color w:val="auto"/>
              </w:rPr>
            </w:pPr>
            <w:r>
              <w:rPr>
                <w:rFonts w:ascii="Arial" w:cs="Arial" w:eastAsia="Arial" w:hAnsi="Arial"/>
                <w:sz w:val="14"/>
                <w:szCs w:val="14"/>
                <w:b w:val="1"/>
                <w:bCs w:val="1"/>
                <w:color w:val="auto"/>
                <w:w w:val="93"/>
              </w:rPr>
              <w:t>Gains/</w:t>
            </w:r>
          </w:p>
        </w:tc>
      </w:tr>
      <w:tr>
        <w:trPr>
          <w:trHeight w:val="176"/>
        </w:trPr>
        <w:tc>
          <w:tcPr>
            <w:tcW w:w="4500" w:type="dxa"/>
            <w:vAlign w:val="bottom"/>
          </w:tcPr>
          <w:p>
            <w:pPr>
              <w:spacing w:after="0"/>
              <w:rPr>
                <w:sz w:val="20"/>
                <w:szCs w:val="20"/>
                <w:color w:val="auto"/>
              </w:rPr>
            </w:pPr>
            <w:r>
              <w:rPr>
                <w:rFonts w:ascii="Arial" w:cs="Arial" w:eastAsia="Arial" w:hAnsi="Arial"/>
                <w:sz w:val="14"/>
                <w:szCs w:val="14"/>
                <w:b w:val="1"/>
                <w:bCs w:val="1"/>
                <w:color w:val="auto"/>
              </w:rPr>
              <w:t>Categor</w:t>
            </w:r>
            <w:r>
              <w:rPr>
                <w:rFonts w:ascii="Arial" w:cs="Arial" w:eastAsia="Arial" w:hAnsi="Arial"/>
                <w:sz w:val="14"/>
                <w:szCs w:val="14"/>
                <w:color w:val="auto"/>
              </w:rPr>
              <w:t>y</w:t>
            </w:r>
          </w:p>
        </w:tc>
        <w:tc>
          <w:tcPr>
            <w:tcW w:w="1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Months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Months</w:t>
            </w:r>
          </w:p>
        </w:tc>
        <w:tc>
          <w:tcPr>
            <w:tcW w:w="100" w:type="dxa"/>
            <w:vAlign w:val="bottom"/>
          </w:tcPr>
          <w:p>
            <w:pPr>
              <w:spacing w:after="0"/>
              <w:rPr>
                <w:sz w:val="15"/>
                <w:szCs w:val="15"/>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101"/>
              <w:spacing w:after="0"/>
              <w:rPr>
                <w:sz w:val="20"/>
                <w:szCs w:val="20"/>
                <w:color w:val="auto"/>
              </w:rPr>
            </w:pPr>
            <w:r>
              <w:rPr>
                <w:rFonts w:ascii="Arial" w:cs="Arial" w:eastAsia="Arial" w:hAnsi="Arial"/>
                <w:sz w:val="14"/>
                <w:szCs w:val="14"/>
                <w:b w:val="1"/>
                <w:bCs w:val="1"/>
                <w:color w:val="auto"/>
                <w:w w:val="83"/>
              </w:rPr>
              <w:t>(Losses</w:t>
            </w:r>
            <w:r>
              <w:rPr>
                <w:rFonts w:ascii="Arial" w:cs="Arial" w:eastAsia="Arial" w:hAnsi="Arial"/>
                <w:sz w:val="14"/>
                <w:szCs w:val="14"/>
                <w:color w:val="auto"/>
                <w:w w:val="83"/>
              </w:rPr>
              <w:t>)</w:t>
            </w:r>
          </w:p>
        </w:tc>
      </w:tr>
      <w:tr>
        <w:trPr>
          <w:trHeight w:val="469"/>
        </w:trPr>
        <w:tc>
          <w:tcPr>
            <w:tcW w:w="450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Fixed-Maturity Securities:</w:t>
            </w:r>
          </w:p>
        </w:tc>
        <w:tc>
          <w:tcPr>
            <w:tcW w:w="1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r>
        <w:trPr>
          <w:trHeight w:val="228"/>
        </w:trPr>
        <w:tc>
          <w:tcPr>
            <w:tcW w:w="4500" w:type="dxa"/>
            <w:vAlign w:val="bottom"/>
            <w:shd w:val="clear" w:color="auto" w:fill="CCEEFF"/>
          </w:tcPr>
          <w:p>
            <w:pPr>
              <w:ind w:left="40"/>
              <w:spacing w:after="0"/>
              <w:rPr>
                <w:sz w:val="20"/>
                <w:szCs w:val="20"/>
                <w:color w:val="auto"/>
              </w:rPr>
            </w:pPr>
            <w:r>
              <w:rPr>
                <w:rFonts w:ascii="Arial" w:cs="Arial" w:eastAsia="Arial" w:hAnsi="Arial"/>
                <w:sz w:val="17"/>
                <w:szCs w:val="17"/>
                <w:color w:val="auto"/>
                <w:w w:val="98"/>
              </w:rPr>
              <w:t>U.S. Treasury securities and obligations of U.S. government</w:t>
            </w:r>
          </w:p>
        </w:tc>
        <w:tc>
          <w:tcPr>
            <w:tcW w:w="120" w:type="dxa"/>
            <w:vAlign w:val="bottom"/>
            <w:tcBorders>
              <w:right w:val="single" w:sz="8" w:color="CCEEFF"/>
            </w:tcBorders>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spacing w:after="0"/>
              <w:rPr>
                <w:sz w:val="19"/>
                <w:szCs w:val="19"/>
                <w:color w:val="auto"/>
              </w:rPr>
            </w:pPr>
          </w:p>
        </w:tc>
      </w:tr>
      <w:tr>
        <w:trPr>
          <w:trHeight w:val="218"/>
        </w:trPr>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corporations and agencies</w:t>
            </w: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  7,037,856</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23,244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8"/>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  7,061,100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23,244</w:t>
            </w:r>
          </w:p>
        </w:tc>
      </w:tr>
      <w:tr>
        <w:trPr>
          <w:trHeight w:val="209"/>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5"/>
        </w:trPr>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Political subdivisions of States, Territories and Possessions</w:t>
            </w: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9,151,293</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181,835</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(11,316)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9,321,812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170,519</w:t>
            </w:r>
          </w:p>
        </w:tc>
      </w:tr>
      <w:tr>
        <w:trPr>
          <w:trHeight w:val="235"/>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5"/>
        </w:trPr>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Corporate and other bonds Industrial and miscellaneous</w:t>
            </w: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119,874,573</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5,777,624</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(16,685)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(13,473)</w:t>
            </w: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125,622,039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5,747,466</w:t>
            </w:r>
          </w:p>
        </w:tc>
      </w:tr>
      <w:tr>
        <w:trPr>
          <w:trHeight w:val="235"/>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4"/>
        </w:trPr>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Residential mortgage and other asset backed securities (1)</w:t>
            </w:r>
          </w:p>
        </w:tc>
        <w:tc>
          <w:tcPr>
            <w:tcW w:w="120" w:type="dxa"/>
            <w:vAlign w:val="bottom"/>
            <w:tcBorders>
              <w:right w:val="single" w:sz="8" w:color="CCEEFF"/>
            </w:tcBorders>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26,138,633</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437,841</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(68,793)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(276,451)</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26,231,230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92,597</w:t>
            </w:r>
          </w:p>
        </w:tc>
      </w:tr>
      <w:tr>
        <w:trPr>
          <w:trHeight w:val="27"/>
        </w:trPr>
        <w:tc>
          <w:tcPr>
            <w:tcW w:w="450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r>
      <w:tr>
        <w:trPr>
          <w:trHeight w:val="209"/>
        </w:trPr>
        <w:tc>
          <w:tcPr>
            <w:tcW w:w="4500" w:type="dxa"/>
            <w:vAlign w:val="bottom"/>
          </w:tcPr>
          <w:p>
            <w:pPr>
              <w:spacing w:after="0"/>
              <w:rPr>
                <w:sz w:val="20"/>
                <w:szCs w:val="20"/>
                <w:color w:val="auto"/>
              </w:rPr>
            </w:pPr>
            <w:r>
              <w:rPr>
                <w:rFonts w:ascii="Arial" w:cs="Arial" w:eastAsia="Arial" w:hAnsi="Arial"/>
                <w:sz w:val="17"/>
                <w:szCs w:val="17"/>
                <w:color w:val="auto"/>
              </w:rPr>
              <w:t>Total</w:t>
            </w:r>
          </w:p>
        </w:tc>
        <w:tc>
          <w:tcPr>
            <w:tcW w:w="1020" w:type="dxa"/>
            <w:vAlign w:val="bottom"/>
            <w:gridSpan w:val="2"/>
          </w:tcPr>
          <w:p>
            <w:pPr>
              <w:jc w:val="right"/>
              <w:spacing w:after="0"/>
              <w:rPr>
                <w:sz w:val="20"/>
                <w:szCs w:val="20"/>
                <w:color w:val="auto"/>
              </w:rPr>
            </w:pPr>
            <w:r>
              <w:rPr>
                <w:rFonts w:ascii="Arial" w:cs="Arial" w:eastAsia="Arial" w:hAnsi="Arial"/>
                <w:sz w:val="17"/>
                <w:szCs w:val="17"/>
                <w:u w:val="single" w:color="auto"/>
                <w:color w:val="auto"/>
                <w:w w:val="96"/>
              </w:rPr>
              <w:t>$</w:t>
            </w:r>
            <w:r>
              <w:rPr>
                <w:rFonts w:ascii="Arial" w:cs="Arial" w:eastAsia="Arial" w:hAnsi="Arial"/>
                <w:sz w:val="17"/>
                <w:szCs w:val="17"/>
                <w:color w:val="auto"/>
                <w:w w:val="96"/>
              </w:rPr>
              <w:t>162,202,355</w:t>
            </w: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6,420,544</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(96,794)</w:t>
            </w:r>
          </w:p>
        </w:tc>
        <w:tc>
          <w:tcPr>
            <w:tcW w:w="240" w:type="dxa"/>
            <w:vAlign w:val="bottom"/>
            <w:gridSpan w:val="2"/>
          </w:tcPr>
          <w:p>
            <w:pPr>
              <w:jc w:val="right"/>
              <w:ind w:right="8"/>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7"/>
                <w:szCs w:val="17"/>
                <w:color w:val="auto"/>
              </w:rPr>
              <w:t>(289,924)</w:t>
            </w:r>
          </w:p>
        </w:tc>
        <w:tc>
          <w:tcPr>
            <w:tcW w:w="1100" w:type="dxa"/>
            <w:vAlign w:val="bottom"/>
            <w:gridSpan w:val="3"/>
          </w:tcPr>
          <w:p>
            <w:pPr>
              <w:jc w:val="right"/>
              <w:ind w:right="100"/>
              <w:spacing w:after="0"/>
              <w:rPr>
                <w:sz w:val="20"/>
                <w:szCs w:val="20"/>
                <w:color w:val="auto"/>
              </w:rPr>
            </w:pPr>
            <w:r>
              <w:rPr>
                <w:rFonts w:ascii="Arial" w:cs="Arial" w:eastAsia="Arial" w:hAnsi="Arial"/>
                <w:sz w:val="17"/>
                <w:szCs w:val="17"/>
                <w:u w:val="single" w:color="auto"/>
                <w:color w:val="auto"/>
                <w:w w:val="94"/>
              </w:rPr>
              <w:t>$</w:t>
            </w:r>
            <w:r>
              <w:rPr>
                <w:rFonts w:ascii="Arial" w:cs="Arial" w:eastAsia="Arial" w:hAnsi="Arial"/>
                <w:sz w:val="17"/>
                <w:szCs w:val="17"/>
                <w:color w:val="auto"/>
                <w:w w:val="94"/>
              </w:rPr>
              <w:t>168,236,181</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21"/>
              <w:spacing w:after="0"/>
              <w:rPr>
                <w:sz w:val="20"/>
                <w:szCs w:val="20"/>
                <w:color w:val="auto"/>
              </w:rPr>
            </w:pPr>
            <w:r>
              <w:rPr>
                <w:rFonts w:ascii="Arial" w:cs="Arial" w:eastAsia="Arial" w:hAnsi="Arial"/>
                <w:sz w:val="17"/>
                <w:szCs w:val="17"/>
                <w:color w:val="auto"/>
              </w:rPr>
              <w:t>6,033,826</w:t>
            </w: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jc w:val="both"/>
        <w:ind w:left="320" w:hanging="315"/>
        <w:spacing w:after="0" w:line="264" w:lineRule="auto"/>
        <w:tabs>
          <w:tab w:leader="none" w:pos="320" w:val="left"/>
        </w:tabs>
        <w:numPr>
          <w:ilvl w:val="0"/>
          <w:numId w:val="4"/>
        </w:numPr>
        <w:rPr>
          <w:rFonts w:ascii="Arial" w:cs="Arial" w:eastAsia="Arial" w:hAnsi="Arial"/>
          <w:sz w:val="17"/>
          <w:szCs w:val="17"/>
          <w:color w:val="auto"/>
        </w:rPr>
      </w:pPr>
      <w:r>
        <w:rPr>
          <w:rFonts w:ascii="Arial" w:cs="Arial" w:eastAsia="Arial" w:hAnsi="Arial"/>
          <w:sz w:val="17"/>
          <w:szCs w:val="17"/>
          <w:color w:val="auto"/>
        </w:rPr>
        <w:t>KICO has placed certain residential mortgage backed securities as eligible collateral in a designated custodian account related to its membership in the FHLBNY (see Note 7). The eligible collateral would be pledged to FHLBNY if KICO draws an advance from the FHLBNY credit line. As of December 31, 2019, the estimated fair value of the eligible investments was approximately $7,284,000. KICO will retain all rights regarding all securities if pledged as collateral. As of December 31, 2019, there was no outstanding balance on the FHLBNY credit line.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10" w:name="page11"/>
    <w:bookmarkEnd w:id="10"/>
    <w:p>
      <w:pPr>
        <w:spacing w:after="0"/>
        <w:rPr>
          <w:sz w:val="20"/>
          <w:szCs w:val="20"/>
          <w:color w:val="auto"/>
        </w:rPr>
      </w:pPr>
      <w:r>
        <w:rPr>
          <w:rFonts w:ascii="Arial" w:cs="Arial" w:eastAsia="Arial" w:hAnsi="Arial"/>
          <w:sz w:val="15"/>
          <w:szCs w:val="15"/>
          <w:color w:val="auto"/>
        </w:rPr>
        <w:t>A summary of the amortized cost and estimated fair value of the Company’s investments in available-for-sale fixed-maturity securities by contractual maturity as of</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March 31, 2020 and December 31, 2019 is shown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80" w:type="dxa"/>
            <w:vAlign w:val="bottom"/>
            <w:gridSpan w:val="4"/>
          </w:tcPr>
          <w:p>
            <w:pPr>
              <w:jc w:val="right"/>
              <w:ind w:right="658"/>
              <w:spacing w:after="0"/>
              <w:rPr>
                <w:sz w:val="20"/>
                <w:szCs w:val="20"/>
                <w:color w:val="auto"/>
              </w:rPr>
            </w:pPr>
            <w:r>
              <w:rPr>
                <w:rFonts w:ascii="Arial" w:cs="Arial" w:eastAsia="Arial" w:hAnsi="Arial"/>
                <w:sz w:val="14"/>
                <w:szCs w:val="14"/>
                <w:b w:val="1"/>
                <w:bCs w:val="1"/>
                <w:color w:val="auto"/>
              </w:rPr>
              <w:t>March 31, 2020</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0" w:type="dxa"/>
            <w:vAlign w:val="bottom"/>
            <w:gridSpan w:val="5"/>
          </w:tcPr>
          <w:p>
            <w:pPr>
              <w:ind w:left="480"/>
              <w:spacing w:after="0"/>
              <w:rPr>
                <w:sz w:val="20"/>
                <w:szCs w:val="20"/>
                <w:color w:val="auto"/>
              </w:rPr>
            </w:pPr>
            <w:r>
              <w:rPr>
                <w:rFonts w:ascii="Arial" w:cs="Arial" w:eastAsia="Arial" w:hAnsi="Arial"/>
                <w:sz w:val="14"/>
                <w:szCs w:val="14"/>
                <w:b w:val="1"/>
                <w:bCs w:val="1"/>
                <w:color w:val="auto"/>
              </w:rPr>
              <w:t>December 31, 2019</w:t>
            </w:r>
          </w:p>
        </w:tc>
      </w:tr>
      <w:tr>
        <w:trPr>
          <w:trHeight w:val="143"/>
        </w:trPr>
        <w:tc>
          <w:tcPr>
            <w:tcW w:w="5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139"/>
              <w:spacing w:after="0" w:line="143" w:lineRule="exact"/>
              <w:rPr>
                <w:sz w:val="20"/>
                <w:szCs w:val="20"/>
                <w:color w:val="auto"/>
              </w:rPr>
            </w:pPr>
            <w:r>
              <w:rPr>
                <w:rFonts w:ascii="Arial" w:cs="Arial" w:eastAsia="Arial" w:hAnsi="Arial"/>
                <w:sz w:val="14"/>
                <w:szCs w:val="14"/>
                <w:b w:val="1"/>
                <w:bCs w:val="1"/>
                <w:color w:val="auto"/>
              </w:rPr>
              <w:t>Amortized</w:t>
            </w: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158"/>
              <w:spacing w:after="0" w:line="143" w:lineRule="exact"/>
              <w:rPr>
                <w:sz w:val="20"/>
                <w:szCs w:val="20"/>
                <w:color w:val="auto"/>
              </w:rPr>
            </w:pPr>
            <w:r>
              <w:rPr>
                <w:rFonts w:ascii="Arial" w:cs="Arial" w:eastAsia="Arial" w:hAnsi="Arial"/>
                <w:sz w:val="14"/>
                <w:szCs w:val="14"/>
                <w:b w:val="1"/>
                <w:bCs w:val="1"/>
                <w:color w:val="auto"/>
                <w:w w:val="98"/>
              </w:rPr>
              <w:t>Estimated</w:t>
            </w: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119"/>
              <w:spacing w:after="0" w:line="143" w:lineRule="exact"/>
              <w:rPr>
                <w:sz w:val="20"/>
                <w:szCs w:val="20"/>
                <w:color w:val="auto"/>
              </w:rPr>
            </w:pPr>
            <w:r>
              <w:rPr>
                <w:rFonts w:ascii="Arial" w:cs="Arial" w:eastAsia="Arial" w:hAnsi="Arial"/>
                <w:sz w:val="14"/>
                <w:szCs w:val="14"/>
                <w:b w:val="1"/>
                <w:bCs w:val="1"/>
                <w:color w:val="auto"/>
              </w:rPr>
              <w:t>Amortized</w:t>
            </w: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ind w:left="80"/>
              <w:spacing w:after="0" w:line="143" w:lineRule="exact"/>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2"/>
                <w:szCs w:val="12"/>
                <w:color w:val="auto"/>
              </w:rPr>
            </w:pPr>
          </w:p>
        </w:tc>
      </w:tr>
      <w:tr>
        <w:trPr>
          <w:trHeight w:val="176"/>
        </w:trPr>
        <w:tc>
          <w:tcPr>
            <w:tcW w:w="5860" w:type="dxa"/>
            <w:vAlign w:val="bottom"/>
          </w:tcPr>
          <w:p>
            <w:pPr>
              <w:ind w:left="40"/>
              <w:spacing w:after="0"/>
              <w:rPr>
                <w:sz w:val="20"/>
                <w:szCs w:val="20"/>
                <w:color w:val="auto"/>
              </w:rPr>
            </w:pPr>
            <w:r>
              <w:rPr>
                <w:rFonts w:ascii="Arial" w:cs="Arial" w:eastAsia="Arial" w:hAnsi="Arial"/>
                <w:sz w:val="14"/>
                <w:szCs w:val="14"/>
                <w:b w:val="1"/>
                <w:bCs w:val="1"/>
                <w:color w:val="auto"/>
              </w:rPr>
              <w:t>Remaining Time to Maturit</w:t>
            </w:r>
            <w:r>
              <w:rPr>
                <w:rFonts w:ascii="Arial" w:cs="Arial" w:eastAsia="Arial" w:hAnsi="Arial"/>
                <w:sz w:val="14"/>
                <w:szCs w:val="14"/>
                <w:color w:val="auto"/>
              </w:rPr>
              <w:t>y</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319"/>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138"/>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319"/>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r>
      <w:tr>
        <w:trPr>
          <w:trHeight w:val="235"/>
        </w:trPr>
        <w:tc>
          <w:tcPr>
            <w:tcW w:w="5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5860" w:type="dxa"/>
            <w:vAlign w:val="bottom"/>
            <w:shd w:val="clear" w:color="auto" w:fill="CCEEFF"/>
          </w:tcPr>
          <w:p>
            <w:pPr>
              <w:ind w:left="40"/>
              <w:spacing w:after="0"/>
              <w:rPr>
                <w:sz w:val="20"/>
                <w:szCs w:val="20"/>
                <w:color w:val="auto"/>
              </w:rPr>
            </w:pPr>
            <w:r>
              <w:rPr>
                <w:rFonts w:ascii="Arial" w:cs="Arial" w:eastAsia="Arial" w:hAnsi="Arial"/>
                <w:sz w:val="17"/>
                <w:szCs w:val="17"/>
                <w:color w:val="auto"/>
              </w:rPr>
              <w:t>Less than one year</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12,900,401</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12,937,879</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11,986,401</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12,025,804</w:t>
            </w:r>
          </w:p>
        </w:tc>
        <w:tc>
          <w:tcPr>
            <w:tcW w:w="120" w:type="dxa"/>
            <w:vAlign w:val="bottom"/>
            <w:shd w:val="clear" w:color="auto" w:fill="CCEEFF"/>
          </w:tcPr>
          <w:p>
            <w:pPr>
              <w:spacing w:after="0"/>
              <w:rPr>
                <w:sz w:val="18"/>
                <w:szCs w:val="18"/>
                <w:color w:val="auto"/>
              </w:rPr>
            </w:pPr>
          </w:p>
        </w:tc>
      </w:tr>
      <w:tr>
        <w:trPr>
          <w:trHeight w:val="209"/>
        </w:trPr>
        <w:tc>
          <w:tcPr>
            <w:tcW w:w="5860" w:type="dxa"/>
            <w:vAlign w:val="bottom"/>
          </w:tcPr>
          <w:p>
            <w:pPr>
              <w:ind w:left="40"/>
              <w:spacing w:after="0"/>
              <w:rPr>
                <w:sz w:val="20"/>
                <w:szCs w:val="20"/>
                <w:color w:val="auto"/>
              </w:rPr>
            </w:pPr>
            <w:r>
              <w:rPr>
                <w:rFonts w:ascii="Arial" w:cs="Arial" w:eastAsia="Arial" w:hAnsi="Arial"/>
                <w:sz w:val="17"/>
                <w:szCs w:val="17"/>
                <w:color w:val="auto"/>
              </w:rPr>
              <w:t>One to five years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44,309,018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44,695,085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49,715,422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51,000,025</w:t>
            </w:r>
          </w:p>
        </w:tc>
        <w:tc>
          <w:tcPr>
            <w:tcW w:w="120" w:type="dxa"/>
            <w:vAlign w:val="bottom"/>
          </w:tcPr>
          <w:p>
            <w:pPr>
              <w:spacing w:after="0"/>
              <w:rPr>
                <w:sz w:val="18"/>
                <w:szCs w:val="18"/>
                <w:color w:val="auto"/>
              </w:rPr>
            </w:pPr>
          </w:p>
        </w:tc>
      </w:tr>
      <w:tr>
        <w:trPr>
          <w:trHeight w:val="209"/>
        </w:trPr>
        <w:tc>
          <w:tcPr>
            <w:tcW w:w="5860" w:type="dxa"/>
            <w:vAlign w:val="bottom"/>
            <w:shd w:val="clear" w:color="auto" w:fill="CCEEFF"/>
          </w:tcPr>
          <w:p>
            <w:pPr>
              <w:ind w:left="40"/>
              <w:spacing w:after="0"/>
              <w:rPr>
                <w:sz w:val="20"/>
                <w:szCs w:val="20"/>
                <w:color w:val="auto"/>
              </w:rPr>
            </w:pPr>
            <w:r>
              <w:rPr>
                <w:rFonts w:ascii="Arial" w:cs="Arial" w:eastAsia="Arial" w:hAnsi="Arial"/>
                <w:sz w:val="17"/>
                <w:szCs w:val="17"/>
                <w:color w:val="auto"/>
              </w:rPr>
              <w:t>Five to ten years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65,324,015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66,293,522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69,850,104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74,410,275</w:t>
            </w:r>
          </w:p>
        </w:tc>
        <w:tc>
          <w:tcPr>
            <w:tcW w:w="120" w:type="dxa"/>
            <w:vAlign w:val="bottom"/>
            <w:shd w:val="clear" w:color="auto" w:fill="CCEEFF"/>
          </w:tcPr>
          <w:p>
            <w:pPr>
              <w:spacing w:after="0"/>
              <w:rPr>
                <w:sz w:val="18"/>
                <w:szCs w:val="18"/>
                <w:color w:val="auto"/>
              </w:rPr>
            </w:pPr>
          </w:p>
        </w:tc>
      </w:tr>
      <w:tr>
        <w:trPr>
          <w:trHeight w:val="209"/>
        </w:trPr>
        <w:tc>
          <w:tcPr>
            <w:tcW w:w="5860" w:type="dxa"/>
            <w:vAlign w:val="bottom"/>
          </w:tcPr>
          <w:p>
            <w:pPr>
              <w:ind w:left="40"/>
              <w:spacing w:after="0"/>
              <w:rPr>
                <w:sz w:val="20"/>
                <w:szCs w:val="20"/>
                <w:color w:val="auto"/>
              </w:rPr>
            </w:pPr>
            <w:r>
              <w:rPr>
                <w:rFonts w:ascii="Arial" w:cs="Arial" w:eastAsia="Arial" w:hAnsi="Arial"/>
                <w:sz w:val="17"/>
                <w:szCs w:val="17"/>
                <w:color w:val="auto"/>
              </w:rPr>
              <w:t>More than 10 years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4,511,318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4,114,335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4,511,795</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4,568,847</w:t>
            </w:r>
          </w:p>
        </w:tc>
        <w:tc>
          <w:tcPr>
            <w:tcW w:w="120" w:type="dxa"/>
            <w:vAlign w:val="bottom"/>
          </w:tcPr>
          <w:p>
            <w:pPr>
              <w:spacing w:after="0"/>
              <w:rPr>
                <w:sz w:val="18"/>
                <w:szCs w:val="18"/>
                <w:color w:val="auto"/>
              </w:rPr>
            </w:pPr>
          </w:p>
        </w:tc>
      </w:tr>
      <w:tr>
        <w:trPr>
          <w:trHeight w:val="215"/>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Residential mortgage and other asset backed securities</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25,631,027</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23,839,073</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26,138,633</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26,231,230</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5860" w:type="dxa"/>
            <w:vAlign w:val="bottom"/>
          </w:tcPr>
          <w:p>
            <w:pPr>
              <w:ind w:left="40"/>
              <w:spacing w:after="0"/>
              <w:rPr>
                <w:sz w:val="20"/>
                <w:szCs w:val="20"/>
                <w:color w:val="auto"/>
              </w:rPr>
            </w:pPr>
            <w:r>
              <w:rPr>
                <w:rFonts w:ascii="Arial" w:cs="Arial" w:eastAsia="Arial" w:hAnsi="Arial"/>
                <w:sz w:val="17"/>
                <w:szCs w:val="17"/>
                <w:color w:val="auto"/>
              </w:rPr>
              <w:t>Total</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w w:val="97"/>
              </w:rPr>
              <w:t>152,675,779</w:t>
            </w:r>
          </w:p>
        </w:tc>
        <w:tc>
          <w:tcPr>
            <w:tcW w:w="4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w w:val="95"/>
              </w:rPr>
              <w:t>151,879,894</w:t>
            </w: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w w:val="95"/>
              </w:rPr>
              <w:t>162,202,355</w:t>
            </w: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w w:val="95"/>
              </w:rPr>
              <w:t>168,236,181</w:t>
            </w:r>
          </w:p>
        </w:tc>
        <w:tc>
          <w:tcPr>
            <w:tcW w:w="120" w:type="dxa"/>
            <w:vAlign w:val="bottom"/>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 actual maturities may differ from contractual maturities because certain borrowers have the right to call or prepay obligations with or without penalties.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Equity Securities</w:t>
      </w:r>
    </w:p>
    <w:p>
      <w:pPr>
        <w:spacing w:after="0" w:line="22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cost and estimated fair value of, and gross unrealized gains and losses on, investments in equity securities as of March 31, 2020 and December 31, 2019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March 31, 2020</w:t>
            </w: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143"/>
        </w:trPr>
        <w:tc>
          <w:tcPr>
            <w:tcW w:w="5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ind w:left="360"/>
              <w:spacing w:after="0" w:line="143" w:lineRule="exact"/>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2"/>
                <w:szCs w:val="12"/>
                <w:color w:val="auto"/>
              </w:rPr>
            </w:pPr>
          </w:p>
        </w:tc>
        <w:tc>
          <w:tcPr>
            <w:tcW w:w="1080" w:type="dxa"/>
            <w:vAlign w:val="bottom"/>
          </w:tcPr>
          <w:p>
            <w:pPr>
              <w:ind w:left="360"/>
              <w:spacing w:after="0" w:line="143" w:lineRule="exact"/>
              <w:rPr>
                <w:sz w:val="20"/>
                <w:szCs w:val="20"/>
                <w:color w:val="auto"/>
              </w:rPr>
            </w:pPr>
            <w:r>
              <w:rPr>
                <w:rFonts w:ascii="Arial" w:cs="Arial" w:eastAsia="Arial" w:hAnsi="Arial"/>
                <w:sz w:val="14"/>
                <w:szCs w:val="14"/>
                <w:b w:val="1"/>
                <w:bCs w:val="1"/>
                <w:color w:val="auto"/>
              </w:rPr>
              <w:t>Gross</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7"/>
        </w:trPr>
        <w:tc>
          <w:tcPr>
            <w:tcW w:w="5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ind w:left="220"/>
              <w:spacing w:after="0" w:line="157" w:lineRule="exact"/>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3"/>
                <w:szCs w:val="13"/>
                <w:color w:val="auto"/>
              </w:rPr>
            </w:pPr>
          </w:p>
        </w:tc>
        <w:tc>
          <w:tcPr>
            <w:tcW w:w="1080" w:type="dxa"/>
            <w:vAlign w:val="bottom"/>
          </w:tcPr>
          <w:p>
            <w:pPr>
              <w:ind w:left="220"/>
              <w:spacing w:after="0" w:line="157" w:lineRule="exact"/>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3"/>
                <w:szCs w:val="13"/>
                <w:color w:val="auto"/>
              </w:rPr>
            </w:pPr>
          </w:p>
        </w:tc>
        <w:tc>
          <w:tcPr>
            <w:tcW w:w="1120" w:type="dxa"/>
            <w:vAlign w:val="bottom"/>
            <w:gridSpan w:val="2"/>
          </w:tcPr>
          <w:p>
            <w:pPr>
              <w:ind w:left="260"/>
              <w:spacing w:after="0" w:line="157" w:lineRule="exact"/>
              <w:rPr>
                <w:sz w:val="20"/>
                <w:szCs w:val="20"/>
                <w:color w:val="auto"/>
              </w:rPr>
            </w:pPr>
            <w:r>
              <w:rPr>
                <w:rFonts w:ascii="Arial" w:cs="Arial" w:eastAsia="Arial" w:hAnsi="Arial"/>
                <w:sz w:val="14"/>
                <w:szCs w:val="14"/>
                <w:b w:val="1"/>
                <w:bCs w:val="1"/>
                <w:color w:val="auto"/>
              </w:rPr>
              <w:t>Estimated</w:t>
            </w:r>
          </w:p>
        </w:tc>
      </w:tr>
      <w:tr>
        <w:trPr>
          <w:trHeight w:val="176"/>
        </w:trPr>
        <w:tc>
          <w:tcPr>
            <w:tcW w:w="58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Categor</w:t>
            </w:r>
            <w:r>
              <w:rPr>
                <w:rFonts w:ascii="Arial" w:cs="Arial" w:eastAsia="Arial" w:hAnsi="Arial"/>
                <w:sz w:val="14"/>
                <w:szCs w:val="14"/>
                <w:color w:val="auto"/>
              </w:rPr>
              <w:t>y</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5"/>
                <w:szCs w:val="15"/>
                <w:color w:val="auto"/>
              </w:rPr>
            </w:pPr>
          </w:p>
        </w:tc>
        <w:tc>
          <w:tcPr>
            <w:tcW w:w="10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Gains</w:t>
            </w:r>
          </w:p>
        </w:tc>
        <w:tc>
          <w:tcPr>
            <w:tcW w:w="260" w:type="dxa"/>
            <w:vAlign w:val="bottom"/>
          </w:tcPr>
          <w:p>
            <w:pPr>
              <w:spacing w:after="0"/>
              <w:rPr>
                <w:sz w:val="15"/>
                <w:szCs w:val="15"/>
                <w:color w:val="auto"/>
              </w:rPr>
            </w:pPr>
          </w:p>
        </w:tc>
        <w:tc>
          <w:tcPr>
            <w:tcW w:w="10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Losses</w:t>
            </w:r>
          </w:p>
        </w:tc>
        <w:tc>
          <w:tcPr>
            <w:tcW w:w="260" w:type="dxa"/>
            <w:vAlign w:val="bottom"/>
          </w:tcPr>
          <w:p>
            <w:pPr>
              <w:spacing w:after="0"/>
              <w:rPr>
                <w:sz w:val="15"/>
                <w:szCs w:val="15"/>
                <w:color w:val="auto"/>
              </w:rPr>
            </w:pPr>
          </w:p>
        </w:tc>
        <w:tc>
          <w:tcPr>
            <w:tcW w:w="11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5"/>
                <w:szCs w:val="15"/>
                <w:color w:val="auto"/>
              </w:rPr>
            </w:pPr>
          </w:p>
        </w:tc>
      </w:tr>
    </w:tbl>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820" w:type="dxa"/>
            <w:vAlign w:val="bottom"/>
          </w:tcPr>
          <w:p>
            <w:pPr>
              <w:ind w:left="40"/>
              <w:spacing w:after="0"/>
              <w:rPr>
                <w:sz w:val="20"/>
                <w:szCs w:val="20"/>
                <w:color w:val="auto"/>
              </w:rPr>
            </w:pPr>
            <w:r>
              <w:rPr>
                <w:rFonts w:ascii="Arial" w:cs="Arial" w:eastAsia="Arial" w:hAnsi="Arial"/>
                <w:sz w:val="17"/>
                <w:szCs w:val="17"/>
                <w:b w:val="1"/>
                <w:bCs w:val="1"/>
                <w:color w:val="auto"/>
              </w:rPr>
              <w:t>Equity Securities: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0"/>
        </w:trPr>
        <w:tc>
          <w:tcPr>
            <w:tcW w:w="4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Preferred stocks</w:t>
            </w:r>
          </w:p>
        </w:tc>
        <w:tc>
          <w:tcPr>
            <w:tcW w:w="1380" w:type="dxa"/>
            <w:vAlign w:val="bottom"/>
            <w:gridSpan w:val="3"/>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7,535,068</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7,870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(1,113,367)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6,429,571</w:t>
            </w:r>
          </w:p>
        </w:tc>
        <w:tc>
          <w:tcPr>
            <w:tcW w:w="120" w:type="dxa"/>
            <w:vAlign w:val="bottom"/>
            <w:tcBorders>
              <w:left w:val="single" w:sz="8" w:color="CCEEFF"/>
            </w:tcBorders>
            <w:shd w:val="clear" w:color="auto" w:fill="CCEEFF"/>
          </w:tcPr>
          <w:p>
            <w:pPr>
              <w:spacing w:after="0"/>
              <w:rPr>
                <w:sz w:val="18"/>
                <w:szCs w:val="18"/>
                <w:color w:val="auto"/>
              </w:rPr>
            </w:pPr>
          </w:p>
        </w:tc>
      </w:tr>
      <w:tr>
        <w:trPr>
          <w:trHeight w:val="234"/>
        </w:trPr>
        <w:tc>
          <w:tcPr>
            <w:tcW w:w="4820" w:type="dxa"/>
            <w:vAlign w:val="bottom"/>
          </w:tcPr>
          <w:p>
            <w:pPr>
              <w:ind w:left="60"/>
              <w:spacing w:after="0"/>
              <w:rPr>
                <w:sz w:val="20"/>
                <w:szCs w:val="20"/>
                <w:color w:val="auto"/>
              </w:rPr>
            </w:pPr>
            <w:r>
              <w:rPr>
                <w:rFonts w:ascii="Arial" w:cs="Arial" w:eastAsia="Arial" w:hAnsi="Arial"/>
                <w:sz w:val="17"/>
                <w:szCs w:val="17"/>
                <w:color w:val="auto"/>
              </w:rPr>
              <w:t>Common stocks, mutual funds, and exchange traded funds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14,894,969</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137,242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(3,092,889)</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11,939,322</w:t>
            </w:r>
          </w:p>
        </w:tc>
        <w:tc>
          <w:tcPr>
            <w:tcW w:w="120" w:type="dxa"/>
            <w:vAlign w:val="bottom"/>
          </w:tcPr>
          <w:p>
            <w:pPr>
              <w:spacing w:after="0"/>
              <w:rPr>
                <w:sz w:val="20"/>
                <w:szCs w:val="20"/>
                <w:color w:val="auto"/>
              </w:rPr>
            </w:pPr>
          </w:p>
        </w:tc>
      </w:tr>
      <w:tr>
        <w:trPr>
          <w:trHeight w:val="27"/>
        </w:trPr>
        <w:tc>
          <w:tcPr>
            <w:tcW w:w="4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29"/>
        </w:trPr>
        <w:tc>
          <w:tcPr>
            <w:tcW w:w="4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1160" w:type="dxa"/>
            <w:vAlign w:val="bottom"/>
            <w:tcBorders>
              <w:right w:val="single" w:sz="8" w:color="CCEEFF"/>
            </w:tcBorders>
            <w:gridSpan w:val="2"/>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22,430,037</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145,112</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(4,206,256)</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18,368,893</w:t>
            </w:r>
          </w:p>
        </w:tc>
        <w:tc>
          <w:tcPr>
            <w:tcW w:w="120" w:type="dxa"/>
            <w:vAlign w:val="bottom"/>
            <w:tcBorders>
              <w:left w:val="single" w:sz="8" w:color="CCEEFF"/>
            </w:tcBorders>
            <w:shd w:val="clear" w:color="auto" w:fill="CCEEFF"/>
          </w:tcPr>
          <w:p>
            <w:pPr>
              <w:spacing w:after="0"/>
              <w:rPr>
                <w:sz w:val="19"/>
                <w:szCs w:val="19"/>
                <w:color w:val="auto"/>
              </w:rPr>
            </w:pPr>
          </w:p>
        </w:tc>
      </w:tr>
      <w:tr>
        <w:trPr>
          <w:trHeight w:val="20"/>
        </w:trPr>
        <w:tc>
          <w:tcPr>
            <w:tcW w:w="48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r>
      <w:tr>
        <w:trPr>
          <w:trHeight w:val="364"/>
        </w:trPr>
        <w:tc>
          <w:tcPr>
            <w:tcW w:w="48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5"/>
          </w:tcPr>
          <w:p>
            <w:pPr>
              <w:jc w:val="right"/>
              <w:ind w:right="880"/>
              <w:spacing w:after="0"/>
              <w:rPr>
                <w:sz w:val="20"/>
                <w:szCs w:val="20"/>
                <w:color w:val="auto"/>
              </w:rPr>
            </w:pPr>
            <w:r>
              <w:rPr>
                <w:rFonts w:ascii="Arial" w:cs="Arial" w:eastAsia="Arial" w:hAnsi="Arial"/>
                <w:sz w:val="14"/>
                <w:szCs w:val="14"/>
                <w:b w:val="1"/>
                <w:bCs w:val="1"/>
                <w:color w:val="auto"/>
              </w:rPr>
              <w:t>December 31, 2019</w:t>
            </w: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3"/>
        </w:trPr>
        <w:tc>
          <w:tcPr>
            <w:tcW w:w="4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jc w:val="center"/>
              <w:ind w:right="40"/>
              <w:spacing w:after="0" w:line="14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7"/>
        </w:trPr>
        <w:tc>
          <w:tcPr>
            <w:tcW w:w="48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40"/>
              <w:spacing w:after="0" w:line="157" w:lineRule="exact"/>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380"/>
              <w:spacing w:after="0" w:line="157"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3"/>
                <w:szCs w:val="13"/>
                <w:color w:val="auto"/>
              </w:rPr>
            </w:pPr>
          </w:p>
        </w:tc>
        <w:tc>
          <w:tcPr>
            <w:tcW w:w="1060" w:type="dxa"/>
            <w:vAlign w:val="bottom"/>
            <w:gridSpan w:val="2"/>
          </w:tcPr>
          <w:p>
            <w:pPr>
              <w:ind w:left="80"/>
              <w:spacing w:after="0" w:line="157" w:lineRule="exact"/>
              <w:rPr>
                <w:sz w:val="20"/>
                <w:szCs w:val="20"/>
                <w:color w:val="auto"/>
              </w:rPr>
            </w:pPr>
            <w:r>
              <w:rPr>
                <w:rFonts w:ascii="Arial" w:cs="Arial" w:eastAsia="Arial" w:hAnsi="Arial"/>
                <w:sz w:val="14"/>
                <w:szCs w:val="14"/>
                <w:b w:val="1"/>
                <w:bCs w:val="1"/>
                <w:color w:val="auto"/>
              </w:rPr>
              <w:t>Estimated</w:t>
            </w:r>
          </w:p>
        </w:tc>
      </w:tr>
      <w:tr>
        <w:trPr>
          <w:trHeight w:val="176"/>
        </w:trPr>
        <w:tc>
          <w:tcPr>
            <w:tcW w:w="4820" w:type="dxa"/>
            <w:vAlign w:val="bottom"/>
          </w:tcPr>
          <w:p>
            <w:pPr>
              <w:ind w:left="40"/>
              <w:spacing w:after="0"/>
              <w:rPr>
                <w:sz w:val="20"/>
                <w:szCs w:val="20"/>
                <w:color w:val="auto"/>
              </w:rPr>
            </w:pPr>
            <w:r>
              <w:rPr>
                <w:rFonts w:ascii="Arial" w:cs="Arial" w:eastAsia="Arial" w:hAnsi="Arial"/>
                <w:sz w:val="14"/>
                <w:szCs w:val="14"/>
                <w:b w:val="1"/>
                <w:bCs w:val="1"/>
                <w:color w:val="auto"/>
              </w:rPr>
              <w:t>Categor</w:t>
            </w:r>
            <w:r>
              <w:rPr>
                <w:rFonts w:ascii="Arial" w:cs="Arial" w:eastAsia="Arial" w:hAnsi="Arial"/>
                <w:sz w:val="14"/>
                <w:szCs w:val="14"/>
                <w:color w:val="auto"/>
              </w:rPr>
              <w:t>y</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ind w:right="317"/>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ind w:right="40"/>
              <w:spacing w:after="0"/>
              <w:rPr>
                <w:sz w:val="20"/>
                <w:szCs w:val="20"/>
                <w:color w:val="auto"/>
              </w:rPr>
            </w:pPr>
            <w:r>
              <w:rPr>
                <w:rFonts w:ascii="Arial" w:cs="Arial" w:eastAsia="Arial" w:hAnsi="Arial"/>
                <w:sz w:val="14"/>
                <w:szCs w:val="14"/>
                <w:b w:val="1"/>
                <w:bCs w:val="1"/>
                <w:color w:val="auto"/>
                <w:w w:val="92"/>
              </w:rPr>
              <w:t>Gains</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Losses</w:t>
            </w:r>
          </w:p>
        </w:tc>
        <w:tc>
          <w:tcPr>
            <w:tcW w:w="160" w:type="dxa"/>
            <w:vAlign w:val="bottom"/>
          </w:tcPr>
          <w:p>
            <w:pPr>
              <w:spacing w:after="0"/>
              <w:rPr>
                <w:sz w:val="15"/>
                <w:szCs w:val="15"/>
                <w:color w:val="auto"/>
              </w:rPr>
            </w:pP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r>
      <w:tr>
        <w:trPr>
          <w:trHeight w:val="235"/>
        </w:trPr>
        <w:tc>
          <w:tcPr>
            <w:tcW w:w="482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20" w:type="dxa"/>
            <w:vAlign w:val="bottom"/>
            <w:tcBorders>
              <w:left w:val="single" w:sz="8" w:color="CCEEFF"/>
            </w:tcBorders>
            <w:shd w:val="clear" w:color="auto" w:fill="CCEEFF"/>
          </w:tcPr>
          <w:p>
            <w:pPr>
              <w:spacing w:after="0"/>
              <w:rPr>
                <w:sz w:val="20"/>
                <w:szCs w:val="20"/>
                <w:color w:val="auto"/>
              </w:rPr>
            </w:pPr>
          </w:p>
        </w:tc>
      </w:tr>
      <w:tr>
        <w:trPr>
          <w:trHeight w:val="234"/>
        </w:trPr>
        <w:tc>
          <w:tcPr>
            <w:tcW w:w="4820" w:type="dxa"/>
            <w:vAlign w:val="bottom"/>
          </w:tcPr>
          <w:p>
            <w:pPr>
              <w:ind w:left="40"/>
              <w:spacing w:after="0"/>
              <w:rPr>
                <w:sz w:val="20"/>
                <w:szCs w:val="20"/>
                <w:color w:val="auto"/>
              </w:rPr>
            </w:pPr>
            <w:r>
              <w:rPr>
                <w:rFonts w:ascii="Arial" w:cs="Arial" w:eastAsia="Arial" w:hAnsi="Arial"/>
                <w:sz w:val="17"/>
                <w:szCs w:val="17"/>
                <w:b w:val="1"/>
                <w:bCs w:val="1"/>
                <w:color w:val="auto"/>
              </w:rPr>
              <w:t>Equity Securities: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4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Preferred stocks</w:t>
            </w:r>
          </w:p>
        </w:tc>
        <w:tc>
          <w:tcPr>
            <w:tcW w:w="1380" w:type="dxa"/>
            <w:vAlign w:val="bottom"/>
            <w:gridSpan w:val="3"/>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8,374,424</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339,257</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(11,794)</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8,701,887</w:t>
            </w:r>
          </w:p>
        </w:tc>
        <w:tc>
          <w:tcPr>
            <w:tcW w:w="120" w:type="dxa"/>
            <w:vAlign w:val="bottom"/>
            <w:tcBorders>
              <w:left w:val="single" w:sz="8" w:color="CCEEFF"/>
            </w:tcBorders>
            <w:shd w:val="clear" w:color="auto" w:fill="CCEEFF"/>
          </w:tcPr>
          <w:p>
            <w:pPr>
              <w:spacing w:after="0"/>
              <w:rPr>
                <w:sz w:val="18"/>
                <w:szCs w:val="18"/>
                <w:color w:val="auto"/>
              </w:rPr>
            </w:pPr>
          </w:p>
        </w:tc>
      </w:tr>
      <w:tr>
        <w:trPr>
          <w:trHeight w:val="234"/>
        </w:trPr>
        <w:tc>
          <w:tcPr>
            <w:tcW w:w="4820" w:type="dxa"/>
            <w:vAlign w:val="bottom"/>
          </w:tcPr>
          <w:p>
            <w:pPr>
              <w:ind w:left="60"/>
              <w:spacing w:after="0"/>
              <w:rPr>
                <w:sz w:val="20"/>
                <w:szCs w:val="20"/>
                <w:color w:val="auto"/>
              </w:rPr>
            </w:pPr>
            <w:r>
              <w:rPr>
                <w:rFonts w:ascii="Arial" w:cs="Arial" w:eastAsia="Arial" w:hAnsi="Arial"/>
                <w:sz w:val="17"/>
                <w:szCs w:val="17"/>
                <w:color w:val="auto"/>
              </w:rPr>
              <w:t>Common stocks, mutual funds, and exchange traded funds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14,250,244</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1,982,878</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(273,627)</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15,959,495</w:t>
            </w:r>
          </w:p>
        </w:tc>
        <w:tc>
          <w:tcPr>
            <w:tcW w:w="120" w:type="dxa"/>
            <w:vAlign w:val="bottom"/>
          </w:tcPr>
          <w:p>
            <w:pPr>
              <w:spacing w:after="0"/>
              <w:rPr>
                <w:sz w:val="20"/>
                <w:szCs w:val="20"/>
                <w:color w:val="auto"/>
              </w:rPr>
            </w:pPr>
          </w:p>
        </w:tc>
      </w:tr>
      <w:tr>
        <w:trPr>
          <w:trHeight w:val="27"/>
        </w:trPr>
        <w:tc>
          <w:tcPr>
            <w:tcW w:w="4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49"/>
        </w:trPr>
        <w:tc>
          <w:tcPr>
            <w:tcW w:w="4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1160" w:type="dxa"/>
            <w:vAlign w:val="bottom"/>
            <w:tcBorders>
              <w:right w:val="single" w:sz="8" w:color="CCEEFF"/>
            </w:tcBorders>
            <w:gridSpan w:val="2"/>
            <w:shd w:val="clear" w:color="auto" w:fill="CCEEFF"/>
          </w:tcPr>
          <w:p>
            <w:pPr>
              <w:spacing w:after="0"/>
              <w:rPr>
                <w:sz w:val="21"/>
                <w:szCs w:val="21"/>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22,624,668</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2,322,135</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(285,421)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24,661,382</w:t>
            </w:r>
          </w:p>
        </w:tc>
        <w:tc>
          <w:tcPr>
            <w:tcW w:w="120" w:type="dxa"/>
            <w:vAlign w:val="bottom"/>
            <w:tcBorders>
              <w:left w:val="single" w:sz="8" w:color="CCEEFF"/>
            </w:tcBorders>
            <w:shd w:val="clear" w:color="auto" w:fill="CCEEFF"/>
          </w:tcPr>
          <w:p>
            <w:pPr>
              <w:spacing w:after="0"/>
              <w:rPr>
                <w:sz w:val="21"/>
                <w:szCs w:val="21"/>
                <w:color w:val="auto"/>
              </w:rPr>
            </w:pPr>
          </w:p>
        </w:tc>
      </w:tr>
      <w:tr>
        <w:trPr>
          <w:trHeight w:val="618"/>
        </w:trPr>
        <w:tc>
          <w:tcPr>
            <w:tcW w:w="4820" w:type="dxa"/>
            <w:vAlign w:val="bottom"/>
            <w:tcBorders>
              <w:top w:val="single" w:sz="8" w:color="CCEEFF"/>
              <w:bottom w:val="single" w:sz="8" w:color="auto"/>
            </w:tcBorders>
          </w:tcPr>
          <w:p>
            <w:pPr>
              <w:spacing w:after="0"/>
              <w:rPr>
                <w:sz w:val="24"/>
                <w:szCs w:val="24"/>
                <w:color w:val="auto"/>
              </w:rPr>
            </w:pPr>
          </w:p>
        </w:tc>
        <w:tc>
          <w:tcPr>
            <w:tcW w:w="1040" w:type="dxa"/>
            <w:vAlign w:val="bottom"/>
            <w:tcBorders>
              <w:top w:val="single" w:sz="8" w:color="CCEEFF"/>
              <w:bottom w:val="single" w:sz="8" w:color="auto"/>
            </w:tcBorders>
          </w:tcPr>
          <w:p>
            <w:pPr>
              <w:jc w:val="right"/>
              <w:ind w:right="115"/>
              <w:spacing w:after="0"/>
              <w:rPr>
                <w:sz w:val="20"/>
                <w:szCs w:val="20"/>
                <w:color w:val="auto"/>
              </w:rPr>
            </w:pPr>
            <w:r>
              <w:rPr>
                <w:rFonts w:ascii="Arial" w:cs="Arial" w:eastAsia="Arial" w:hAnsi="Arial"/>
                <w:sz w:val="17"/>
                <w:szCs w:val="17"/>
                <w:color w:val="auto"/>
              </w:rPr>
              <w:t>9</w:t>
            </w:r>
          </w:p>
        </w:tc>
        <w:tc>
          <w:tcPr>
            <w:tcW w:w="1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49"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u w:val="single" w:color="auto"/>
          <w:color w:val="auto"/>
        </w:rPr>
        <w:t>Other Investments</w:t>
      </w:r>
    </w:p>
    <w:p>
      <w:pPr>
        <w:spacing w:after="0" w:line="223" w:lineRule="exact"/>
        <w:rPr>
          <w:sz w:val="20"/>
          <w:szCs w:val="20"/>
          <w:color w:val="auto"/>
        </w:rPr>
      </w:pPr>
    </w:p>
    <w:p>
      <w:pPr>
        <w:spacing w:after="0" w:line="281" w:lineRule="auto"/>
        <w:rPr>
          <w:sz w:val="20"/>
          <w:szCs w:val="20"/>
          <w:color w:val="auto"/>
        </w:rPr>
      </w:pPr>
      <w:r>
        <w:rPr>
          <w:rFonts w:ascii="Arial" w:cs="Arial" w:eastAsia="Arial" w:hAnsi="Arial"/>
          <w:sz w:val="17"/>
          <w:szCs w:val="17"/>
          <w:color w:val="auto"/>
        </w:rPr>
        <w:t>The cost and estimated fair value of, and gross unrealized gains and losses, on the Company’s other investments as of March 31, 2020 and December 31, 2019 are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March 31, 2020</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December 31, 2019</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3"/>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7"/>
        </w:trPr>
        <w:tc>
          <w:tcPr>
            <w:tcW w:w="4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20"/>
              <w:spacing w:after="0" w:line="157" w:lineRule="exact"/>
              <w:rPr>
                <w:sz w:val="20"/>
                <w:szCs w:val="20"/>
                <w:color w:val="auto"/>
              </w:rPr>
            </w:pPr>
            <w:r>
              <w:rPr>
                <w:rFonts w:ascii="Arial" w:cs="Arial" w:eastAsia="Arial" w:hAnsi="Arial"/>
                <w:sz w:val="14"/>
                <w:szCs w:val="14"/>
                <w:b w:val="1"/>
                <w:bCs w:val="1"/>
                <w:color w:val="auto"/>
                <w:w w:val="95"/>
              </w:rPr>
              <w:t>Unrealized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42"/>
              <w:spacing w:after="0" w:line="157" w:lineRule="exact"/>
              <w:rPr>
                <w:sz w:val="20"/>
                <w:szCs w:val="20"/>
                <w:color w:val="auto"/>
              </w:rPr>
            </w:pPr>
            <w:r>
              <w:rPr>
                <w:rFonts w:ascii="Arial" w:cs="Arial" w:eastAsia="Arial" w:hAnsi="Arial"/>
                <w:sz w:val="14"/>
                <w:szCs w:val="14"/>
                <w:b w:val="1"/>
                <w:bCs w:val="1"/>
                <w:color w:val="auto"/>
                <w:w w:val="95"/>
              </w:rPr>
              <w:t>Estimated</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3"/>
                <w:szCs w:val="13"/>
                <w:color w:val="auto"/>
              </w:rPr>
            </w:pPr>
          </w:p>
        </w:tc>
        <w:tc>
          <w:tcPr>
            <w:tcW w:w="900" w:type="dxa"/>
            <w:vAlign w:val="bottom"/>
            <w:gridSpan w:val="2"/>
          </w:tcPr>
          <w:p>
            <w:pPr>
              <w:ind w:left="40"/>
              <w:spacing w:after="0" w:line="157" w:lineRule="exact"/>
              <w:rPr>
                <w:sz w:val="20"/>
                <w:szCs w:val="20"/>
                <w:color w:val="auto"/>
              </w:rPr>
            </w:pPr>
            <w:r>
              <w:rPr>
                <w:rFonts w:ascii="Arial" w:cs="Arial" w:eastAsia="Arial" w:hAnsi="Arial"/>
                <w:sz w:val="14"/>
                <w:szCs w:val="14"/>
                <w:b w:val="1"/>
                <w:bCs w:val="1"/>
                <w:color w:val="auto"/>
              </w:rPr>
              <w:t>Estimated</w:t>
            </w:r>
          </w:p>
        </w:tc>
      </w:tr>
      <w:tr>
        <w:trPr>
          <w:trHeight w:val="176"/>
        </w:trPr>
        <w:tc>
          <w:tcPr>
            <w:tcW w:w="4500" w:type="dxa"/>
            <w:vAlign w:val="bottom"/>
          </w:tcPr>
          <w:p>
            <w:pPr>
              <w:ind w:left="40"/>
              <w:spacing w:after="0"/>
              <w:rPr>
                <w:sz w:val="20"/>
                <w:szCs w:val="20"/>
                <w:color w:val="auto"/>
              </w:rPr>
            </w:pPr>
            <w:r>
              <w:rPr>
                <w:rFonts w:ascii="Arial" w:cs="Arial" w:eastAsia="Arial" w:hAnsi="Arial"/>
                <w:sz w:val="14"/>
                <w:szCs w:val="14"/>
                <w:b w:val="1"/>
                <w:bCs w:val="1"/>
                <w:color w:val="auto"/>
              </w:rPr>
              <w:t>Categor</w:t>
            </w:r>
            <w:r>
              <w:rPr>
                <w:rFonts w:ascii="Arial" w:cs="Arial" w:eastAsia="Arial" w:hAnsi="Arial"/>
                <w:sz w:val="14"/>
                <w:szCs w:val="14"/>
                <w:color w:val="auto"/>
              </w:rPr>
              <w:t>y</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219"/>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22"/>
              <w:spacing w:after="0"/>
              <w:rPr>
                <w:sz w:val="20"/>
                <w:szCs w:val="20"/>
                <w:color w:val="auto"/>
              </w:rPr>
            </w:pPr>
            <w:r>
              <w:rPr>
                <w:rFonts w:ascii="Arial" w:cs="Arial" w:eastAsia="Arial" w:hAnsi="Arial"/>
                <w:sz w:val="14"/>
                <w:szCs w:val="14"/>
                <w:b w:val="1"/>
                <w:bCs w:val="1"/>
                <w:color w:val="auto"/>
                <w:w w:val="98"/>
              </w:rPr>
              <w:t>Fair Value</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239"/>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r>
      <w:tr>
        <w:trPr>
          <w:trHeight w:val="469"/>
        </w:trPr>
        <w:tc>
          <w:tcPr>
            <w:tcW w:w="450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Other Investments:</w:t>
            </w: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4500" w:type="dxa"/>
            <w:vAlign w:val="bottom"/>
            <w:shd w:val="clear" w:color="auto" w:fill="CCEEFF"/>
          </w:tcPr>
          <w:p>
            <w:pPr>
              <w:ind w:left="40"/>
              <w:spacing w:after="0"/>
              <w:rPr>
                <w:sz w:val="20"/>
                <w:szCs w:val="20"/>
                <w:color w:val="auto"/>
              </w:rPr>
            </w:pPr>
            <w:r>
              <w:rPr>
                <w:rFonts w:ascii="Arial" w:cs="Arial" w:eastAsia="Arial" w:hAnsi="Arial"/>
                <w:sz w:val="17"/>
                <w:szCs w:val="17"/>
                <w:color w:val="auto"/>
              </w:rPr>
              <w:t>Hedge fund</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1,999,381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(11,859)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1,987,522</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5"/>
              </w:rPr>
              <w:t>1,999,381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585,532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2,584,913</w:t>
            </w:r>
          </w:p>
        </w:tc>
        <w:tc>
          <w:tcPr>
            <w:tcW w:w="100" w:type="dxa"/>
            <w:vAlign w:val="bottom"/>
            <w:shd w:val="clear" w:color="auto" w:fill="CCEEFF"/>
          </w:tcPr>
          <w:p>
            <w:pPr>
              <w:spacing w:after="0"/>
              <w:rPr>
                <w:sz w:val="18"/>
                <w:szCs w:val="18"/>
                <w:color w:val="auto"/>
              </w:rPr>
            </w:pPr>
          </w:p>
        </w:tc>
      </w:tr>
      <w:tr>
        <w:trPr>
          <w:trHeight w:val="26"/>
        </w:trPr>
        <w:tc>
          <w:tcPr>
            <w:tcW w:w="450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9"/>
        </w:trPr>
        <w:tc>
          <w:tcPr>
            <w:tcW w:w="4500" w:type="dxa"/>
            <w:vAlign w:val="bottom"/>
          </w:tcPr>
          <w:p>
            <w:pPr>
              <w:ind w:left="40"/>
              <w:spacing w:after="0"/>
              <w:rPr>
                <w:sz w:val="20"/>
                <w:szCs w:val="20"/>
                <w:color w:val="auto"/>
              </w:rPr>
            </w:pPr>
            <w:r>
              <w:rPr>
                <w:rFonts w:ascii="Arial" w:cs="Arial" w:eastAsia="Arial" w:hAnsi="Arial"/>
                <w:sz w:val="17"/>
                <w:szCs w:val="17"/>
                <w:color w:val="auto"/>
              </w:rPr>
              <w:t>Total</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7"/>
              </w:rPr>
              <w:t>1,999,381</w:t>
            </w: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(11,859)</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1,987,522</w:t>
            </w:r>
          </w:p>
        </w:tc>
        <w:tc>
          <w:tcPr>
            <w:tcW w:w="3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w w:val="95"/>
              </w:rPr>
              <w:t>1,999,381</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585,532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2,584,913</w:t>
            </w:r>
          </w:p>
        </w:tc>
        <w:tc>
          <w:tcPr>
            <w:tcW w:w="100" w:type="dxa"/>
            <w:vAlign w:val="bottom"/>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Held-to-Maturity Securities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The cost or amortized cost and estimated fair value of, and unrealized gross gains and losses, on investments in held-to-maturity fixed-maturity securities as of</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March 31, 2020 and December 31, 2019 are summarized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March 31, 2020</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r>
      <w:tr>
        <w:trPr>
          <w:trHeight w:val="320"/>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ind w:right="1"/>
              <w:spacing w:after="0"/>
              <w:rPr>
                <w:sz w:val="20"/>
                <w:szCs w:val="20"/>
                <w:color w:val="auto"/>
              </w:rPr>
            </w:pPr>
            <w:r>
              <w:rPr>
                <w:rFonts w:ascii="Arial" w:cs="Arial" w:eastAsia="Arial" w:hAnsi="Arial"/>
                <w:sz w:val="14"/>
                <w:szCs w:val="14"/>
                <w:b w:val="1"/>
                <w:bCs w:val="1"/>
                <w:color w:val="auto"/>
                <w:w w:val="89"/>
              </w:rPr>
              <w:t>Cost or</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center"/>
              <w:ind w:left="2"/>
              <w:spacing w:after="0"/>
              <w:rPr>
                <w:sz w:val="20"/>
                <w:szCs w:val="20"/>
                <w:color w:val="auto"/>
              </w:rPr>
            </w:pPr>
            <w:r>
              <w:rPr>
                <w:rFonts w:ascii="Arial" w:cs="Arial" w:eastAsia="Arial" w:hAnsi="Arial"/>
                <w:sz w:val="14"/>
                <w:szCs w:val="14"/>
                <w:b w:val="1"/>
                <w:bCs w:val="1"/>
                <w:color w:val="auto"/>
                <w:w w:val="89"/>
              </w:rPr>
              <w:t>Gross Unrealized Losses</w:t>
            </w:r>
          </w:p>
        </w:tc>
        <w:tc>
          <w:tcPr>
            <w:tcW w:w="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Estimated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ind w:right="101"/>
              <w:spacing w:after="0"/>
              <w:rPr>
                <w:sz w:val="20"/>
                <w:szCs w:val="20"/>
                <w:color w:val="auto"/>
              </w:rPr>
            </w:pPr>
            <w:r>
              <w:rPr>
                <w:rFonts w:ascii="Arial" w:cs="Arial" w:eastAsia="Arial" w:hAnsi="Arial"/>
                <w:sz w:val="14"/>
                <w:szCs w:val="14"/>
                <w:b w:val="1"/>
                <w:bCs w:val="1"/>
                <w:color w:val="auto"/>
                <w:w w:val="88"/>
              </w:rPr>
              <w:t>Net</w:t>
            </w:r>
          </w:p>
        </w:tc>
      </w:tr>
      <w:tr>
        <w:trPr>
          <w:trHeight w:val="143"/>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1"/>
              <w:spacing w:after="0" w:line="143" w:lineRule="exact"/>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91"/>
              </w:rPr>
              <w:t>Less than 12</w:t>
            </w:r>
          </w:p>
        </w:tc>
        <w:tc>
          <w:tcPr>
            <w:tcW w:w="80" w:type="dxa"/>
            <w:vAlign w:val="bottom"/>
          </w:tcPr>
          <w:p>
            <w:pPr>
              <w:spacing w:after="0"/>
              <w:rPr>
                <w:sz w:val="12"/>
                <w:szCs w:val="12"/>
                <w:color w:val="auto"/>
              </w:rPr>
            </w:pPr>
          </w:p>
        </w:tc>
        <w:tc>
          <w:tcPr>
            <w:tcW w:w="90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94"/>
              </w:rPr>
              <w:t>More than 12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01"/>
              <w:spacing w:after="0" w:line="143" w:lineRule="exact"/>
              <w:rPr>
                <w:sz w:val="20"/>
                <w:szCs w:val="20"/>
                <w:color w:val="auto"/>
              </w:rPr>
            </w:pPr>
            <w:r>
              <w:rPr>
                <w:rFonts w:ascii="Arial" w:cs="Arial" w:eastAsia="Arial" w:hAnsi="Arial"/>
                <w:sz w:val="14"/>
                <w:szCs w:val="14"/>
                <w:b w:val="1"/>
                <w:bCs w:val="1"/>
                <w:color w:val="auto"/>
                <w:w w:val="95"/>
              </w:rPr>
              <w:t>Unrealized</w:t>
            </w:r>
          </w:p>
        </w:tc>
      </w:tr>
      <w:tr>
        <w:trPr>
          <w:trHeight w:val="176"/>
        </w:trPr>
        <w:tc>
          <w:tcPr>
            <w:tcW w:w="4500" w:type="dxa"/>
            <w:vAlign w:val="bottom"/>
          </w:tcPr>
          <w:p>
            <w:pPr>
              <w:ind w:left="40"/>
              <w:spacing w:after="0"/>
              <w:rPr>
                <w:sz w:val="20"/>
                <w:szCs w:val="20"/>
                <w:color w:val="auto"/>
              </w:rPr>
            </w:pPr>
            <w:r>
              <w:rPr>
                <w:rFonts w:ascii="Arial" w:cs="Arial" w:eastAsia="Arial" w:hAnsi="Arial"/>
                <w:sz w:val="14"/>
                <w:szCs w:val="14"/>
                <w:b w:val="1"/>
                <w:bCs w:val="1"/>
                <w:color w:val="auto"/>
              </w:rPr>
              <w:t>Categor</w:t>
            </w:r>
            <w:r>
              <w:rPr>
                <w:rFonts w:ascii="Arial" w:cs="Arial" w:eastAsia="Arial" w:hAnsi="Arial"/>
                <w:sz w:val="14"/>
                <w:szCs w:val="14"/>
                <w:color w:val="auto"/>
              </w:rPr>
              <w:t>y</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1"/>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Months</w:t>
            </w:r>
          </w:p>
        </w:tc>
        <w:tc>
          <w:tcPr>
            <w:tcW w:w="80" w:type="dxa"/>
            <w:vAlign w:val="bottom"/>
          </w:tcPr>
          <w:p>
            <w:pPr>
              <w:spacing w:after="0"/>
              <w:rPr>
                <w:sz w:val="15"/>
                <w:szCs w:val="15"/>
                <w:color w:val="auto"/>
              </w:rPr>
            </w:pPr>
          </w:p>
        </w:tc>
        <w:tc>
          <w:tcPr>
            <w:tcW w:w="780" w:type="dxa"/>
            <w:vAlign w:val="bottom"/>
          </w:tcPr>
          <w:p>
            <w:pPr>
              <w:jc w:val="center"/>
              <w:ind w:left="88"/>
              <w:spacing w:after="0"/>
              <w:rPr>
                <w:sz w:val="20"/>
                <w:szCs w:val="20"/>
                <w:color w:val="auto"/>
              </w:rPr>
            </w:pPr>
            <w:r>
              <w:rPr>
                <w:rFonts w:ascii="Arial" w:cs="Arial" w:eastAsia="Arial" w:hAnsi="Arial"/>
                <w:sz w:val="14"/>
                <w:szCs w:val="14"/>
                <w:b w:val="1"/>
                <w:bCs w:val="1"/>
                <w:color w:val="auto"/>
                <w:w w:val="92"/>
              </w:rPr>
              <w:t>Months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101"/>
              <w:spacing w:after="0"/>
              <w:rPr>
                <w:sz w:val="20"/>
                <w:szCs w:val="20"/>
                <w:color w:val="auto"/>
              </w:rPr>
            </w:pPr>
            <w:r>
              <w:rPr>
                <w:rFonts w:ascii="Arial" w:cs="Arial" w:eastAsia="Arial" w:hAnsi="Arial"/>
                <w:sz w:val="14"/>
                <w:szCs w:val="14"/>
                <w:b w:val="1"/>
                <w:bCs w:val="1"/>
                <w:color w:val="auto"/>
                <w:w w:val="92"/>
              </w:rPr>
              <w:t>Gains</w:t>
            </w:r>
          </w:p>
        </w:tc>
      </w:tr>
      <w:tr>
        <w:trPr>
          <w:trHeight w:val="469"/>
        </w:trPr>
        <w:tc>
          <w:tcPr>
            <w:tcW w:w="450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Held-to-Maturity Securities:</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r>
        <w:trPr>
          <w:trHeight w:val="210"/>
        </w:trPr>
        <w:tc>
          <w:tcPr>
            <w:tcW w:w="4500" w:type="dxa"/>
            <w:vAlign w:val="bottom"/>
            <w:shd w:val="clear" w:color="auto" w:fill="CCEEFF"/>
          </w:tcPr>
          <w:p>
            <w:pPr>
              <w:ind w:left="40"/>
              <w:spacing w:after="0"/>
              <w:rPr>
                <w:sz w:val="20"/>
                <w:szCs w:val="20"/>
                <w:color w:val="auto"/>
              </w:rPr>
            </w:pPr>
            <w:r>
              <w:rPr>
                <w:rFonts w:ascii="Arial" w:cs="Arial" w:eastAsia="Arial" w:hAnsi="Arial"/>
                <w:sz w:val="17"/>
                <w:szCs w:val="17"/>
                <w:color w:val="auto"/>
              </w:rPr>
              <w:t>U.S. Treasury securities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729,561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162,483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628"/>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892,044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162,483</w:t>
            </w:r>
          </w:p>
        </w:tc>
      </w:tr>
      <w:tr>
        <w:trPr>
          <w:trHeight w:val="209"/>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9"/>
        </w:trPr>
        <w:tc>
          <w:tcPr>
            <w:tcW w:w="450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Political subdivisions of States,</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r>
      <w:tr>
        <w:trPr>
          <w:trHeight w:val="209"/>
        </w:trPr>
        <w:tc>
          <w:tcPr>
            <w:tcW w:w="4500" w:type="dxa"/>
            <w:vAlign w:val="bottom"/>
          </w:tcPr>
          <w:p>
            <w:pPr>
              <w:ind w:left="40"/>
              <w:spacing w:after="0"/>
              <w:rPr>
                <w:sz w:val="20"/>
                <w:szCs w:val="20"/>
                <w:color w:val="auto"/>
              </w:rPr>
            </w:pPr>
            <w:r>
              <w:rPr>
                <w:rFonts w:ascii="Arial" w:cs="Arial" w:eastAsia="Arial" w:hAnsi="Arial"/>
                <w:sz w:val="17"/>
                <w:szCs w:val="17"/>
                <w:color w:val="auto"/>
              </w:rPr>
              <w:t>Territories and Possessions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998,573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43,857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1,042,430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21"/>
              <w:spacing w:after="0"/>
              <w:rPr>
                <w:sz w:val="20"/>
                <w:szCs w:val="20"/>
                <w:color w:val="auto"/>
              </w:rPr>
            </w:pPr>
            <w:r>
              <w:rPr>
                <w:rFonts w:ascii="Arial" w:cs="Arial" w:eastAsia="Arial" w:hAnsi="Arial"/>
                <w:sz w:val="17"/>
                <w:szCs w:val="17"/>
                <w:color w:val="auto"/>
              </w:rPr>
              <w:t>43,857</w:t>
            </w:r>
          </w:p>
        </w:tc>
      </w:tr>
      <w:tr>
        <w:trPr>
          <w:trHeight w:val="209"/>
        </w:trPr>
        <w:tc>
          <w:tcPr>
            <w:tcW w:w="45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r>
      <w:tr>
        <w:trPr>
          <w:trHeight w:val="209"/>
        </w:trPr>
        <w:tc>
          <w:tcPr>
            <w:tcW w:w="4500" w:type="dxa"/>
            <w:vAlign w:val="bottom"/>
          </w:tcPr>
          <w:p>
            <w:pPr>
              <w:ind w:left="40"/>
              <w:spacing w:after="0"/>
              <w:rPr>
                <w:sz w:val="20"/>
                <w:szCs w:val="20"/>
                <w:color w:val="auto"/>
              </w:rPr>
            </w:pPr>
            <w:r>
              <w:rPr>
                <w:rFonts w:ascii="Arial" w:cs="Arial" w:eastAsia="Arial" w:hAnsi="Arial"/>
                <w:sz w:val="17"/>
                <w:szCs w:val="17"/>
                <w:color w:val="auto"/>
              </w:rPr>
              <w:t>Corporate and other bonds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5"/>
        </w:trPr>
        <w:tc>
          <w:tcPr>
            <w:tcW w:w="450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Industrial and miscellaneous</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2,098,270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106,196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(2,230)</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2,202,236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103,966</w:t>
            </w:r>
          </w:p>
        </w:tc>
      </w:tr>
      <w:tr>
        <w:trPr>
          <w:trHeight w:val="209"/>
        </w:trPr>
        <w:tc>
          <w:tcPr>
            <w:tcW w:w="4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r>
      <w:tr>
        <w:trPr>
          <w:trHeight w:val="229"/>
        </w:trPr>
        <w:tc>
          <w:tcPr>
            <w:tcW w:w="450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3,826,404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312,536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(2,230)</w:t>
            </w:r>
          </w:p>
        </w:tc>
        <w:tc>
          <w:tcPr>
            <w:tcW w:w="860" w:type="dxa"/>
            <w:vAlign w:val="bottom"/>
            <w:gridSpan w:val="2"/>
            <w:shd w:val="clear" w:color="auto" w:fill="CCEEFF"/>
          </w:tcPr>
          <w:p>
            <w:pPr>
              <w:jc w:val="right"/>
              <w:ind w:right="628"/>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4,136,710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310,306</w:t>
            </w:r>
          </w:p>
        </w:tc>
      </w:tr>
      <w:tr>
        <w:trPr>
          <w:trHeight w:val="20"/>
        </w:trPr>
        <w:tc>
          <w:tcPr>
            <w:tcW w:w="4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CCEEFF"/>
            </w:tcBorders>
            <w:shd w:val="clear" w:color="auto" w:fill="000000"/>
          </w:tcPr>
          <w:p>
            <w:pPr>
              <w:spacing w:after="0" w:line="20" w:lineRule="exact"/>
              <w:rPr>
                <w:sz w:val="1"/>
                <w:szCs w:val="1"/>
                <w:color w:val="auto"/>
              </w:rPr>
            </w:pPr>
          </w:p>
        </w:tc>
      </w:tr>
      <w:tr>
        <w:trPr>
          <w:trHeight w:val="364"/>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346"/>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ind w:right="1"/>
              <w:spacing w:after="0"/>
              <w:rPr>
                <w:sz w:val="20"/>
                <w:szCs w:val="20"/>
                <w:color w:val="auto"/>
              </w:rPr>
            </w:pPr>
            <w:r>
              <w:rPr>
                <w:rFonts w:ascii="Arial" w:cs="Arial" w:eastAsia="Arial" w:hAnsi="Arial"/>
                <w:sz w:val="14"/>
                <w:szCs w:val="14"/>
                <w:b w:val="1"/>
                <w:bCs w:val="1"/>
                <w:color w:val="auto"/>
                <w:w w:val="89"/>
              </w:rPr>
              <w:t>Cost or</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center"/>
              <w:ind w:left="2"/>
              <w:spacing w:after="0"/>
              <w:rPr>
                <w:sz w:val="20"/>
                <w:szCs w:val="20"/>
                <w:color w:val="auto"/>
              </w:rPr>
            </w:pPr>
            <w:r>
              <w:rPr>
                <w:rFonts w:ascii="Arial" w:cs="Arial" w:eastAsia="Arial" w:hAnsi="Arial"/>
                <w:sz w:val="14"/>
                <w:szCs w:val="14"/>
                <w:b w:val="1"/>
                <w:bCs w:val="1"/>
                <w:color w:val="auto"/>
                <w:w w:val="89"/>
              </w:rPr>
              <w:t>Gross Unrealized Losses</w:t>
            </w:r>
          </w:p>
        </w:tc>
        <w:tc>
          <w:tcPr>
            <w:tcW w:w="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Estimated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ind w:right="101"/>
              <w:spacing w:after="0"/>
              <w:rPr>
                <w:sz w:val="20"/>
                <w:szCs w:val="20"/>
                <w:color w:val="auto"/>
              </w:rPr>
            </w:pPr>
            <w:r>
              <w:rPr>
                <w:rFonts w:ascii="Arial" w:cs="Arial" w:eastAsia="Arial" w:hAnsi="Arial"/>
                <w:sz w:val="14"/>
                <w:szCs w:val="14"/>
                <w:b w:val="1"/>
                <w:bCs w:val="1"/>
                <w:color w:val="auto"/>
                <w:w w:val="88"/>
              </w:rPr>
              <w:t>Net</w:t>
            </w:r>
          </w:p>
        </w:tc>
      </w:tr>
      <w:tr>
        <w:trPr>
          <w:trHeight w:val="143"/>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21"/>
              <w:spacing w:after="0" w:line="143" w:lineRule="exact"/>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91"/>
              </w:rPr>
              <w:t>Less than 12</w:t>
            </w:r>
          </w:p>
        </w:tc>
        <w:tc>
          <w:tcPr>
            <w:tcW w:w="80" w:type="dxa"/>
            <w:vAlign w:val="bottom"/>
          </w:tcPr>
          <w:p>
            <w:pPr>
              <w:spacing w:after="0"/>
              <w:rPr>
                <w:sz w:val="12"/>
                <w:szCs w:val="12"/>
                <w:color w:val="auto"/>
              </w:rPr>
            </w:pPr>
          </w:p>
        </w:tc>
        <w:tc>
          <w:tcPr>
            <w:tcW w:w="90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94"/>
              </w:rPr>
              <w:t>More than 12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01"/>
              <w:spacing w:after="0" w:line="143" w:lineRule="exact"/>
              <w:rPr>
                <w:sz w:val="20"/>
                <w:szCs w:val="20"/>
                <w:color w:val="auto"/>
              </w:rPr>
            </w:pPr>
            <w:r>
              <w:rPr>
                <w:rFonts w:ascii="Arial" w:cs="Arial" w:eastAsia="Arial" w:hAnsi="Arial"/>
                <w:sz w:val="14"/>
                <w:szCs w:val="14"/>
                <w:b w:val="1"/>
                <w:bCs w:val="1"/>
                <w:color w:val="auto"/>
                <w:w w:val="95"/>
              </w:rPr>
              <w:t>Unrealized</w:t>
            </w:r>
          </w:p>
        </w:tc>
      </w:tr>
      <w:tr>
        <w:trPr>
          <w:trHeight w:val="176"/>
        </w:trPr>
        <w:tc>
          <w:tcPr>
            <w:tcW w:w="4500" w:type="dxa"/>
            <w:vAlign w:val="bottom"/>
          </w:tcPr>
          <w:p>
            <w:pPr>
              <w:ind w:left="40"/>
              <w:spacing w:after="0"/>
              <w:rPr>
                <w:sz w:val="20"/>
                <w:szCs w:val="20"/>
                <w:color w:val="auto"/>
              </w:rPr>
            </w:pPr>
            <w:r>
              <w:rPr>
                <w:rFonts w:ascii="Arial" w:cs="Arial" w:eastAsia="Arial" w:hAnsi="Arial"/>
                <w:sz w:val="14"/>
                <w:szCs w:val="14"/>
                <w:b w:val="1"/>
                <w:bCs w:val="1"/>
                <w:color w:val="auto"/>
              </w:rPr>
              <w:t>Categor</w:t>
            </w:r>
            <w:r>
              <w:rPr>
                <w:rFonts w:ascii="Arial" w:cs="Arial" w:eastAsia="Arial" w:hAnsi="Arial"/>
                <w:sz w:val="14"/>
                <w:szCs w:val="14"/>
                <w:color w:val="auto"/>
              </w:rPr>
              <w:t>y</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1"/>
              <w:spacing w:after="0"/>
              <w:rPr>
                <w:sz w:val="20"/>
                <w:szCs w:val="20"/>
                <w:color w:val="auto"/>
              </w:rPr>
            </w:pPr>
            <w:r>
              <w:rPr>
                <w:rFonts w:ascii="Arial" w:cs="Arial" w:eastAsia="Arial" w:hAnsi="Arial"/>
                <w:sz w:val="14"/>
                <w:szCs w:val="14"/>
                <w:b w:val="1"/>
                <w:bCs w:val="1"/>
                <w:color w:val="auto"/>
                <w:w w:val="89"/>
              </w:rPr>
              <w:t>Cost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Months</w:t>
            </w:r>
          </w:p>
        </w:tc>
        <w:tc>
          <w:tcPr>
            <w:tcW w:w="80" w:type="dxa"/>
            <w:vAlign w:val="bottom"/>
          </w:tcPr>
          <w:p>
            <w:pPr>
              <w:spacing w:after="0"/>
              <w:rPr>
                <w:sz w:val="15"/>
                <w:szCs w:val="15"/>
                <w:color w:val="auto"/>
              </w:rPr>
            </w:pPr>
          </w:p>
        </w:tc>
        <w:tc>
          <w:tcPr>
            <w:tcW w:w="780" w:type="dxa"/>
            <w:vAlign w:val="bottom"/>
          </w:tcPr>
          <w:p>
            <w:pPr>
              <w:jc w:val="center"/>
              <w:ind w:left="88"/>
              <w:spacing w:after="0"/>
              <w:rPr>
                <w:sz w:val="20"/>
                <w:szCs w:val="20"/>
                <w:color w:val="auto"/>
              </w:rPr>
            </w:pPr>
            <w:r>
              <w:rPr>
                <w:rFonts w:ascii="Arial" w:cs="Arial" w:eastAsia="Arial" w:hAnsi="Arial"/>
                <w:sz w:val="14"/>
                <w:szCs w:val="14"/>
                <w:b w:val="1"/>
                <w:bCs w:val="1"/>
                <w:color w:val="auto"/>
                <w:w w:val="92"/>
              </w:rPr>
              <w:t>Months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101"/>
              <w:spacing w:after="0"/>
              <w:rPr>
                <w:sz w:val="20"/>
                <w:szCs w:val="20"/>
                <w:color w:val="auto"/>
              </w:rPr>
            </w:pPr>
            <w:r>
              <w:rPr>
                <w:rFonts w:ascii="Arial" w:cs="Arial" w:eastAsia="Arial" w:hAnsi="Arial"/>
                <w:sz w:val="14"/>
                <w:szCs w:val="14"/>
                <w:b w:val="1"/>
                <w:bCs w:val="1"/>
                <w:color w:val="auto"/>
                <w:w w:val="92"/>
              </w:rPr>
              <w:t>Gains</w:t>
            </w:r>
          </w:p>
        </w:tc>
      </w:tr>
      <w:tr>
        <w:trPr>
          <w:trHeight w:val="469"/>
        </w:trPr>
        <w:tc>
          <w:tcPr>
            <w:tcW w:w="450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Held-to-Maturity Securities:</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r>
      <w:tr>
        <w:trPr>
          <w:trHeight w:val="210"/>
        </w:trPr>
        <w:tc>
          <w:tcPr>
            <w:tcW w:w="4500" w:type="dxa"/>
            <w:vAlign w:val="bottom"/>
            <w:shd w:val="clear" w:color="auto" w:fill="CCEEFF"/>
          </w:tcPr>
          <w:p>
            <w:pPr>
              <w:ind w:left="40"/>
              <w:spacing w:after="0"/>
              <w:rPr>
                <w:sz w:val="20"/>
                <w:szCs w:val="20"/>
                <w:color w:val="auto"/>
              </w:rPr>
            </w:pPr>
            <w:r>
              <w:rPr>
                <w:rFonts w:ascii="Arial" w:cs="Arial" w:eastAsia="Arial" w:hAnsi="Arial"/>
                <w:sz w:val="17"/>
                <w:szCs w:val="17"/>
                <w:color w:val="auto"/>
              </w:rPr>
              <w:t>U.S. Treasury securities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729,550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151,002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628"/>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880,552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151,002</w:t>
            </w:r>
          </w:p>
        </w:tc>
      </w:tr>
      <w:tr>
        <w:trPr>
          <w:trHeight w:val="209"/>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09"/>
        </w:trPr>
        <w:tc>
          <w:tcPr>
            <w:tcW w:w="450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Political subdivisions of States,</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r>
      <w:tr>
        <w:trPr>
          <w:trHeight w:val="209"/>
        </w:trPr>
        <w:tc>
          <w:tcPr>
            <w:tcW w:w="4500" w:type="dxa"/>
            <w:vAlign w:val="bottom"/>
          </w:tcPr>
          <w:p>
            <w:pPr>
              <w:ind w:left="40"/>
              <w:spacing w:after="0"/>
              <w:rPr>
                <w:sz w:val="20"/>
                <w:szCs w:val="20"/>
                <w:color w:val="auto"/>
              </w:rPr>
            </w:pPr>
            <w:r>
              <w:rPr>
                <w:rFonts w:ascii="Arial" w:cs="Arial" w:eastAsia="Arial" w:hAnsi="Arial"/>
                <w:sz w:val="17"/>
                <w:szCs w:val="17"/>
                <w:color w:val="auto"/>
              </w:rPr>
              <w:t>Territories and Possessions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998,619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51,021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1,049,640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21"/>
              <w:spacing w:after="0"/>
              <w:rPr>
                <w:sz w:val="20"/>
                <w:szCs w:val="20"/>
                <w:color w:val="auto"/>
              </w:rPr>
            </w:pPr>
            <w:r>
              <w:rPr>
                <w:rFonts w:ascii="Arial" w:cs="Arial" w:eastAsia="Arial" w:hAnsi="Arial"/>
                <w:sz w:val="17"/>
                <w:szCs w:val="17"/>
                <w:color w:val="auto"/>
              </w:rPr>
              <w:t>51,021</w:t>
            </w:r>
          </w:p>
        </w:tc>
      </w:tr>
      <w:tr>
        <w:trPr>
          <w:trHeight w:val="209"/>
        </w:trPr>
        <w:tc>
          <w:tcPr>
            <w:tcW w:w="45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r>
      <w:tr>
        <w:trPr>
          <w:trHeight w:val="209"/>
        </w:trPr>
        <w:tc>
          <w:tcPr>
            <w:tcW w:w="4500" w:type="dxa"/>
            <w:vAlign w:val="bottom"/>
          </w:tcPr>
          <w:p>
            <w:pPr>
              <w:ind w:left="40"/>
              <w:spacing w:after="0"/>
              <w:rPr>
                <w:sz w:val="20"/>
                <w:szCs w:val="20"/>
                <w:color w:val="auto"/>
              </w:rPr>
            </w:pPr>
            <w:r>
              <w:rPr>
                <w:rFonts w:ascii="Arial" w:cs="Arial" w:eastAsia="Arial" w:hAnsi="Arial"/>
                <w:sz w:val="17"/>
                <w:szCs w:val="17"/>
                <w:color w:val="auto"/>
              </w:rPr>
              <w:t>Corporate and other bonds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5"/>
        </w:trPr>
        <w:tc>
          <w:tcPr>
            <w:tcW w:w="450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Industrial and miscellaneous</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2,097,783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97,627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(835)</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2,194,575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96,792</w:t>
            </w:r>
          </w:p>
        </w:tc>
      </w:tr>
      <w:tr>
        <w:trPr>
          <w:trHeight w:val="209"/>
        </w:trPr>
        <w:tc>
          <w:tcPr>
            <w:tcW w:w="4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r>
      <w:tr>
        <w:trPr>
          <w:trHeight w:val="249"/>
        </w:trPr>
        <w:tc>
          <w:tcPr>
            <w:tcW w:w="450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3,825,952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299,650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(835)</w:t>
            </w:r>
          </w:p>
        </w:tc>
        <w:tc>
          <w:tcPr>
            <w:tcW w:w="860" w:type="dxa"/>
            <w:vAlign w:val="bottom"/>
            <w:gridSpan w:val="2"/>
            <w:shd w:val="clear" w:color="auto" w:fill="CCEEFF"/>
          </w:tcPr>
          <w:p>
            <w:pPr>
              <w:jc w:val="right"/>
              <w:ind w:right="628"/>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4,124,767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298,815</w:t>
            </w:r>
          </w:p>
        </w:tc>
      </w:tr>
      <w:tr>
        <w:trPr>
          <w:trHeight w:val="618"/>
        </w:trPr>
        <w:tc>
          <w:tcPr>
            <w:tcW w:w="45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7"/>
                <w:szCs w:val="17"/>
                <w:color w:val="auto"/>
                <w:w w:val="84"/>
              </w:rPr>
              <w:t>10</w:t>
            </w:r>
          </w:p>
        </w:tc>
        <w:tc>
          <w:tcPr>
            <w:tcW w:w="10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240"/>
          </w:cols>
          <w:pgMar w:left="320" w:top="549"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color w:val="auto"/>
        </w:rPr>
        <w:t>Held-to-maturity U.S. Treasury securities are held in trust pursuant to various states’ minimum funds requirements.</w:t>
      </w:r>
    </w:p>
    <w:p>
      <w:pPr>
        <w:spacing w:after="0" w:line="223" w:lineRule="exact"/>
        <w:rPr>
          <w:sz w:val="20"/>
          <w:szCs w:val="20"/>
          <w:color w:val="auto"/>
        </w:rPr>
      </w:pPr>
    </w:p>
    <w:p>
      <w:pPr>
        <w:spacing w:after="0" w:line="281" w:lineRule="auto"/>
        <w:rPr>
          <w:sz w:val="20"/>
          <w:szCs w:val="20"/>
          <w:color w:val="auto"/>
        </w:rPr>
      </w:pPr>
      <w:r>
        <w:rPr>
          <w:rFonts w:ascii="Arial" w:cs="Arial" w:eastAsia="Arial" w:hAnsi="Arial"/>
          <w:sz w:val="17"/>
          <w:szCs w:val="17"/>
          <w:color w:val="auto"/>
        </w:rPr>
        <w:t>A summary of the amortized cost and estimated fair value of the Company’s investments in held-to-maturity securities by contractual maturity as of March 31, 2020 and December 31, 2019 is shown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80" w:type="dxa"/>
            <w:vAlign w:val="bottom"/>
            <w:gridSpan w:val="4"/>
          </w:tcPr>
          <w:p>
            <w:pPr>
              <w:jc w:val="right"/>
              <w:ind w:right="659"/>
              <w:spacing w:after="0"/>
              <w:rPr>
                <w:sz w:val="20"/>
                <w:szCs w:val="20"/>
                <w:color w:val="auto"/>
              </w:rPr>
            </w:pPr>
            <w:r>
              <w:rPr>
                <w:rFonts w:ascii="Arial" w:cs="Arial" w:eastAsia="Arial" w:hAnsi="Arial"/>
                <w:sz w:val="14"/>
                <w:szCs w:val="14"/>
                <w:b w:val="1"/>
                <w:bCs w:val="1"/>
                <w:color w:val="auto"/>
              </w:rPr>
              <w:t>March 31, 2020</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0" w:type="dxa"/>
            <w:vAlign w:val="bottom"/>
            <w:gridSpan w:val="5"/>
          </w:tcPr>
          <w:p>
            <w:pPr>
              <w:ind w:left="480"/>
              <w:spacing w:after="0"/>
              <w:rPr>
                <w:sz w:val="20"/>
                <w:szCs w:val="20"/>
                <w:color w:val="auto"/>
              </w:rPr>
            </w:pPr>
            <w:r>
              <w:rPr>
                <w:rFonts w:ascii="Arial" w:cs="Arial" w:eastAsia="Arial" w:hAnsi="Arial"/>
                <w:sz w:val="14"/>
                <w:szCs w:val="14"/>
                <w:b w:val="1"/>
                <w:bCs w:val="1"/>
                <w:color w:val="auto"/>
              </w:rPr>
              <w:t>December 31, 2019</w:t>
            </w:r>
          </w:p>
        </w:tc>
      </w:tr>
      <w:tr>
        <w:trPr>
          <w:trHeight w:val="143"/>
        </w:trPr>
        <w:tc>
          <w:tcPr>
            <w:tcW w:w="5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140"/>
              <w:spacing w:after="0" w:line="143" w:lineRule="exact"/>
              <w:rPr>
                <w:sz w:val="20"/>
                <w:szCs w:val="20"/>
                <w:color w:val="auto"/>
              </w:rPr>
            </w:pPr>
            <w:r>
              <w:rPr>
                <w:rFonts w:ascii="Arial" w:cs="Arial" w:eastAsia="Arial" w:hAnsi="Arial"/>
                <w:sz w:val="14"/>
                <w:szCs w:val="14"/>
                <w:b w:val="1"/>
                <w:bCs w:val="1"/>
                <w:color w:val="auto"/>
              </w:rPr>
              <w:t>Amortized</w:t>
            </w: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159"/>
              <w:spacing w:after="0" w:line="143" w:lineRule="exact"/>
              <w:rPr>
                <w:sz w:val="20"/>
                <w:szCs w:val="20"/>
                <w:color w:val="auto"/>
              </w:rPr>
            </w:pPr>
            <w:r>
              <w:rPr>
                <w:rFonts w:ascii="Arial" w:cs="Arial" w:eastAsia="Arial" w:hAnsi="Arial"/>
                <w:sz w:val="14"/>
                <w:szCs w:val="14"/>
                <w:b w:val="1"/>
                <w:bCs w:val="1"/>
                <w:color w:val="auto"/>
                <w:w w:val="98"/>
              </w:rPr>
              <w:t>Estimated</w:t>
            </w: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120"/>
              <w:spacing w:after="0" w:line="143" w:lineRule="exact"/>
              <w:rPr>
                <w:sz w:val="20"/>
                <w:szCs w:val="20"/>
                <w:color w:val="auto"/>
              </w:rPr>
            </w:pPr>
            <w:r>
              <w:rPr>
                <w:rFonts w:ascii="Arial" w:cs="Arial" w:eastAsia="Arial" w:hAnsi="Arial"/>
                <w:sz w:val="14"/>
                <w:szCs w:val="14"/>
                <w:b w:val="1"/>
                <w:bCs w:val="1"/>
                <w:color w:val="auto"/>
              </w:rPr>
              <w:t>Amortized</w:t>
            </w: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ind w:left="80"/>
              <w:spacing w:after="0" w:line="143" w:lineRule="exact"/>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2"/>
                <w:szCs w:val="12"/>
                <w:color w:val="auto"/>
              </w:rPr>
            </w:pPr>
          </w:p>
        </w:tc>
      </w:tr>
      <w:tr>
        <w:trPr>
          <w:trHeight w:val="176"/>
        </w:trPr>
        <w:tc>
          <w:tcPr>
            <w:tcW w:w="5860" w:type="dxa"/>
            <w:vAlign w:val="bottom"/>
          </w:tcPr>
          <w:p>
            <w:pPr>
              <w:ind w:left="40"/>
              <w:spacing w:after="0"/>
              <w:rPr>
                <w:sz w:val="20"/>
                <w:szCs w:val="20"/>
                <w:color w:val="auto"/>
              </w:rPr>
            </w:pPr>
            <w:r>
              <w:rPr>
                <w:rFonts w:ascii="Arial" w:cs="Arial" w:eastAsia="Arial" w:hAnsi="Arial"/>
                <w:sz w:val="14"/>
                <w:szCs w:val="14"/>
                <w:b w:val="1"/>
                <w:bCs w:val="1"/>
                <w:color w:val="auto"/>
              </w:rPr>
              <w:t>Remaining Time to Maturit</w:t>
            </w:r>
            <w:r>
              <w:rPr>
                <w:rFonts w:ascii="Arial" w:cs="Arial" w:eastAsia="Arial" w:hAnsi="Arial"/>
                <w:sz w:val="14"/>
                <w:szCs w:val="14"/>
                <w:color w:val="auto"/>
              </w:rPr>
              <w:t>y</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320"/>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139"/>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320"/>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r>
      <w:tr>
        <w:trPr>
          <w:trHeight w:val="235"/>
        </w:trPr>
        <w:tc>
          <w:tcPr>
            <w:tcW w:w="5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5860" w:type="dxa"/>
            <w:vAlign w:val="bottom"/>
            <w:shd w:val="clear" w:color="auto" w:fill="CCEEFF"/>
          </w:tcPr>
          <w:p>
            <w:pPr>
              <w:ind w:left="40"/>
              <w:spacing w:after="0"/>
              <w:rPr>
                <w:sz w:val="20"/>
                <w:szCs w:val="20"/>
                <w:color w:val="auto"/>
              </w:rPr>
            </w:pPr>
            <w:r>
              <w:rPr>
                <w:rFonts w:ascii="Arial" w:cs="Arial" w:eastAsia="Arial" w:hAnsi="Arial"/>
                <w:sz w:val="17"/>
                <w:szCs w:val="17"/>
                <w:color w:val="auto"/>
              </w:rPr>
              <w:t>Less than one year</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500,000</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497,770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499,165</w:t>
            </w:r>
          </w:p>
        </w:tc>
        <w:tc>
          <w:tcPr>
            <w:tcW w:w="120" w:type="dxa"/>
            <w:vAlign w:val="bottom"/>
            <w:shd w:val="clear" w:color="auto" w:fill="CCEEFF"/>
          </w:tcPr>
          <w:p>
            <w:pPr>
              <w:spacing w:after="0"/>
              <w:rPr>
                <w:sz w:val="18"/>
                <w:szCs w:val="18"/>
                <w:color w:val="auto"/>
              </w:rPr>
            </w:pPr>
          </w:p>
        </w:tc>
      </w:tr>
      <w:tr>
        <w:trPr>
          <w:trHeight w:val="209"/>
        </w:trPr>
        <w:tc>
          <w:tcPr>
            <w:tcW w:w="5860" w:type="dxa"/>
            <w:vAlign w:val="bottom"/>
          </w:tcPr>
          <w:p>
            <w:pPr>
              <w:ind w:left="40"/>
              <w:spacing w:after="0"/>
              <w:rPr>
                <w:sz w:val="20"/>
                <w:szCs w:val="20"/>
                <w:color w:val="auto"/>
              </w:rPr>
            </w:pPr>
            <w:r>
              <w:rPr>
                <w:rFonts w:ascii="Arial" w:cs="Arial" w:eastAsia="Arial" w:hAnsi="Arial"/>
                <w:sz w:val="17"/>
                <w:szCs w:val="17"/>
                <w:color w:val="auto"/>
              </w:rPr>
              <w:t>One to five years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2,099,588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2,220,096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2,099,268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2,215,640</w:t>
            </w:r>
          </w:p>
        </w:tc>
        <w:tc>
          <w:tcPr>
            <w:tcW w:w="120" w:type="dxa"/>
            <w:vAlign w:val="bottom"/>
          </w:tcPr>
          <w:p>
            <w:pPr>
              <w:spacing w:after="0"/>
              <w:rPr>
                <w:sz w:val="18"/>
                <w:szCs w:val="18"/>
                <w:color w:val="auto"/>
              </w:rPr>
            </w:pPr>
          </w:p>
        </w:tc>
      </w:tr>
      <w:tr>
        <w:trPr>
          <w:trHeight w:val="209"/>
        </w:trPr>
        <w:tc>
          <w:tcPr>
            <w:tcW w:w="5860" w:type="dxa"/>
            <w:vAlign w:val="bottom"/>
            <w:shd w:val="clear" w:color="auto" w:fill="CCEEFF"/>
          </w:tcPr>
          <w:p>
            <w:pPr>
              <w:ind w:left="40"/>
              <w:spacing w:after="0"/>
              <w:rPr>
                <w:sz w:val="20"/>
                <w:szCs w:val="20"/>
                <w:color w:val="auto"/>
              </w:rPr>
            </w:pPr>
            <w:r>
              <w:rPr>
                <w:rFonts w:ascii="Arial" w:cs="Arial" w:eastAsia="Arial" w:hAnsi="Arial"/>
                <w:sz w:val="17"/>
                <w:szCs w:val="17"/>
                <w:color w:val="auto"/>
              </w:rPr>
              <w:t>Five to ten years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620,255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664,805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620,134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655,923</w:t>
            </w:r>
          </w:p>
        </w:tc>
        <w:tc>
          <w:tcPr>
            <w:tcW w:w="120" w:type="dxa"/>
            <w:vAlign w:val="bottom"/>
            <w:shd w:val="clear" w:color="auto" w:fill="CCEEFF"/>
          </w:tcPr>
          <w:p>
            <w:pPr>
              <w:spacing w:after="0"/>
              <w:rPr>
                <w:sz w:val="18"/>
                <w:szCs w:val="18"/>
                <w:color w:val="auto"/>
              </w:rPr>
            </w:pPr>
          </w:p>
        </w:tc>
      </w:tr>
      <w:tr>
        <w:trPr>
          <w:trHeight w:val="215"/>
        </w:trPr>
        <w:tc>
          <w:tcPr>
            <w:tcW w:w="5860" w:type="dxa"/>
            <w:vAlign w:val="bottom"/>
          </w:tcPr>
          <w:p>
            <w:pPr>
              <w:ind w:left="40"/>
              <w:spacing w:after="0"/>
              <w:rPr>
                <w:sz w:val="20"/>
                <w:szCs w:val="20"/>
                <w:color w:val="auto"/>
              </w:rPr>
            </w:pPr>
            <w:r>
              <w:rPr>
                <w:rFonts w:ascii="Arial" w:cs="Arial" w:eastAsia="Arial" w:hAnsi="Arial"/>
                <w:sz w:val="17"/>
                <w:szCs w:val="17"/>
                <w:color w:val="auto"/>
              </w:rPr>
              <w:t>More than 10 years</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606,561</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754,039</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606,550</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754,039</w:t>
            </w:r>
          </w:p>
        </w:tc>
        <w:tc>
          <w:tcPr>
            <w:tcW w:w="120" w:type="dxa"/>
            <w:vAlign w:val="bottom"/>
          </w:tcPr>
          <w:p>
            <w:pPr>
              <w:spacing w:after="0"/>
              <w:rPr>
                <w:sz w:val="18"/>
                <w:szCs w:val="18"/>
                <w:color w:val="auto"/>
              </w:rPr>
            </w:pPr>
          </w:p>
        </w:tc>
      </w:tr>
      <w:tr>
        <w:trPr>
          <w:trHeight w:val="229"/>
        </w:trPr>
        <w:tc>
          <w:tcPr>
            <w:tcW w:w="586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3,826,404</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4,136,710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3,825,952</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4,124,767</w:t>
            </w:r>
          </w:p>
        </w:tc>
        <w:tc>
          <w:tcPr>
            <w:tcW w:w="120" w:type="dxa"/>
            <w:vAlign w:val="bottom"/>
            <w:shd w:val="clear" w:color="auto" w:fill="CCEEFF"/>
          </w:tcPr>
          <w:p>
            <w:pPr>
              <w:spacing w:after="0"/>
              <w:rPr>
                <w:sz w:val="19"/>
                <w:szCs w:val="19"/>
                <w:color w:val="auto"/>
              </w:rPr>
            </w:pPr>
          </w:p>
        </w:tc>
      </w:tr>
      <w:tr>
        <w:trPr>
          <w:trHeight w:val="20"/>
        </w:trPr>
        <w:tc>
          <w:tcPr>
            <w:tcW w:w="58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The actual maturities may differ from contractual maturities because certain borrowers have the right to call or prepay obligations with or without penalties.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Investment Income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Major categories of the Company’s net investment income are summarized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r>
      <w:tr>
        <w:trPr>
          <w:trHeight w:val="199"/>
        </w:trPr>
        <w:tc>
          <w:tcPr>
            <w:tcW w:w="86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15"/>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15"/>
        </w:trPr>
        <w:tc>
          <w:tcPr>
            <w:tcW w:w="8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8"/>
                <w:szCs w:val="18"/>
                <w:color w:val="auto"/>
              </w:rPr>
            </w:pPr>
          </w:p>
        </w:tc>
      </w:tr>
      <w:tr>
        <w:trPr>
          <w:trHeight w:val="469"/>
        </w:trPr>
        <w:tc>
          <w:tcPr>
            <w:tcW w:w="8680" w:type="dxa"/>
            <w:vAlign w:val="bottom"/>
          </w:tcPr>
          <w:p>
            <w:pPr>
              <w:ind w:left="40"/>
              <w:spacing w:after="0"/>
              <w:rPr>
                <w:sz w:val="20"/>
                <w:szCs w:val="20"/>
                <w:color w:val="auto"/>
              </w:rPr>
            </w:pPr>
            <w:r>
              <w:rPr>
                <w:rFonts w:ascii="Arial" w:cs="Arial" w:eastAsia="Arial" w:hAnsi="Arial"/>
                <w:sz w:val="17"/>
                <w:szCs w:val="17"/>
                <w:b w:val="1"/>
                <w:bCs w:val="1"/>
                <w:color w:val="auto"/>
              </w:rPr>
              <w:t>Income:</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0"/>
        </w:trPr>
        <w:tc>
          <w:tcPr>
            <w:tcW w:w="8680" w:type="dxa"/>
            <w:vAlign w:val="bottom"/>
            <w:shd w:val="clear" w:color="auto" w:fill="CCEEFF"/>
          </w:tcPr>
          <w:p>
            <w:pPr>
              <w:ind w:left="40"/>
              <w:spacing w:after="0"/>
              <w:rPr>
                <w:sz w:val="20"/>
                <w:szCs w:val="20"/>
                <w:color w:val="auto"/>
              </w:rPr>
            </w:pPr>
            <w:r>
              <w:rPr>
                <w:rFonts w:ascii="Arial" w:cs="Arial" w:eastAsia="Arial" w:hAnsi="Arial"/>
                <w:sz w:val="17"/>
                <w:szCs w:val="17"/>
                <w:color w:val="auto"/>
              </w:rPr>
              <w:t>Fixed-maturity securities</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1,447,938</w:t>
            </w:r>
          </w:p>
        </w:tc>
        <w:tc>
          <w:tcPr>
            <w:tcW w:w="560" w:type="dxa"/>
            <w:vAlign w:val="bottom"/>
            <w:gridSpan w:val="2"/>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1,526,870</w:t>
            </w:r>
          </w:p>
        </w:tc>
        <w:tc>
          <w:tcPr>
            <w:tcW w:w="120" w:type="dxa"/>
            <w:vAlign w:val="bottom"/>
            <w:shd w:val="clear" w:color="auto" w:fill="CCEEFF"/>
          </w:tcPr>
          <w:p>
            <w:pPr>
              <w:spacing w:after="0"/>
              <w:rPr>
                <w:sz w:val="18"/>
                <w:szCs w:val="18"/>
                <w:color w:val="auto"/>
              </w:rPr>
            </w:pPr>
          </w:p>
        </w:tc>
      </w:tr>
      <w:tr>
        <w:trPr>
          <w:trHeight w:val="209"/>
        </w:trPr>
        <w:tc>
          <w:tcPr>
            <w:tcW w:w="8680" w:type="dxa"/>
            <w:vAlign w:val="bottom"/>
          </w:tcPr>
          <w:p>
            <w:pPr>
              <w:ind w:left="40"/>
              <w:spacing w:after="0"/>
              <w:rPr>
                <w:sz w:val="20"/>
                <w:szCs w:val="20"/>
                <w:color w:val="auto"/>
              </w:rPr>
            </w:pPr>
            <w:r>
              <w:rPr>
                <w:rFonts w:ascii="Arial" w:cs="Arial" w:eastAsia="Arial" w:hAnsi="Arial"/>
                <w:sz w:val="17"/>
                <w:szCs w:val="17"/>
                <w:color w:val="auto"/>
              </w:rPr>
              <w:t>Equity securities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253,073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207,144</w:t>
            </w:r>
          </w:p>
        </w:tc>
        <w:tc>
          <w:tcPr>
            <w:tcW w:w="120" w:type="dxa"/>
            <w:vAlign w:val="bottom"/>
          </w:tcPr>
          <w:p>
            <w:pPr>
              <w:spacing w:after="0"/>
              <w:rPr>
                <w:sz w:val="18"/>
                <w:szCs w:val="18"/>
                <w:color w:val="auto"/>
              </w:rPr>
            </w:pPr>
          </w:p>
        </w:tc>
      </w:tr>
      <w:tr>
        <w:trPr>
          <w:trHeight w:val="215"/>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and cash equivalents</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44,223</w:t>
            </w:r>
          </w:p>
        </w:tc>
        <w:tc>
          <w:tcPr>
            <w:tcW w:w="2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40,401</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8680" w:type="dxa"/>
            <w:vAlign w:val="bottom"/>
          </w:tcPr>
          <w:p>
            <w:pPr>
              <w:ind w:left="40"/>
              <w:spacing w:after="0"/>
              <w:rPr>
                <w:sz w:val="20"/>
                <w:szCs w:val="20"/>
                <w:color w:val="auto"/>
              </w:rPr>
            </w:pPr>
            <w:r>
              <w:rPr>
                <w:rFonts w:ascii="Arial" w:cs="Arial" w:eastAsia="Arial" w:hAnsi="Arial"/>
                <w:sz w:val="17"/>
                <w:szCs w:val="17"/>
                <w:color w:val="auto"/>
              </w:rPr>
              <w:t>Total</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1,745,234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1,774,415</w:t>
            </w:r>
          </w:p>
        </w:tc>
        <w:tc>
          <w:tcPr>
            <w:tcW w:w="120" w:type="dxa"/>
            <w:vAlign w:val="bottom"/>
          </w:tcPr>
          <w:p>
            <w:pPr>
              <w:spacing w:after="0"/>
              <w:rPr>
                <w:sz w:val="18"/>
                <w:szCs w:val="18"/>
                <w:color w:val="auto"/>
              </w:rPr>
            </w:pPr>
          </w:p>
        </w:tc>
      </w:tr>
      <w:tr>
        <w:trPr>
          <w:trHeight w:val="209"/>
        </w:trPr>
        <w:tc>
          <w:tcPr>
            <w:tcW w:w="868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Expenses: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5"/>
        </w:trPr>
        <w:tc>
          <w:tcPr>
            <w:tcW w:w="8680" w:type="dxa"/>
            <w:vAlign w:val="bottom"/>
          </w:tcPr>
          <w:p>
            <w:pPr>
              <w:ind w:left="40"/>
              <w:spacing w:after="0"/>
              <w:rPr>
                <w:sz w:val="20"/>
                <w:szCs w:val="20"/>
                <w:color w:val="auto"/>
              </w:rPr>
            </w:pPr>
            <w:r>
              <w:rPr>
                <w:rFonts w:ascii="Arial" w:cs="Arial" w:eastAsia="Arial" w:hAnsi="Arial"/>
                <w:sz w:val="17"/>
                <w:szCs w:val="17"/>
                <w:color w:val="auto"/>
              </w:rPr>
              <w:t>Investment expenses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79,390</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150,703</w:t>
            </w:r>
          </w:p>
        </w:tc>
        <w:tc>
          <w:tcPr>
            <w:tcW w:w="120" w:type="dxa"/>
            <w:vAlign w:val="bottom"/>
          </w:tcPr>
          <w:p>
            <w:pPr>
              <w:spacing w:after="0"/>
              <w:rPr>
                <w:sz w:val="18"/>
                <w:szCs w:val="18"/>
                <w:color w:val="auto"/>
              </w:rPr>
            </w:pPr>
          </w:p>
        </w:tc>
      </w:tr>
      <w:tr>
        <w:trPr>
          <w:trHeight w:val="249"/>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investment income</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1,665,844</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1,623,712</w:t>
            </w:r>
          </w:p>
        </w:tc>
        <w:tc>
          <w:tcPr>
            <w:tcW w:w="120" w:type="dxa"/>
            <w:vAlign w:val="bottom"/>
            <w:tcBorders>
              <w:bottom w:val="single" w:sz="8" w:color="CCEEFF"/>
            </w:tcBorders>
            <w:shd w:val="clear" w:color="auto" w:fill="CCEEFF"/>
          </w:tcPr>
          <w:p>
            <w:pPr>
              <w:spacing w:after="0"/>
              <w:rPr>
                <w:sz w:val="21"/>
                <w:szCs w:val="21"/>
                <w:color w:val="auto"/>
              </w:rPr>
            </w:pPr>
          </w:p>
        </w:tc>
      </w:tr>
    </w:tbl>
    <w:p>
      <w:pPr>
        <w:spacing w:after="0" w:line="20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Proceeds from the sale and redemption of fixed-maturity securities held-to-maturity were $-0- and $400,000 for the three months ended March 31, 2020 and 2019, respectively.</w:t>
      </w:r>
    </w:p>
    <w:p>
      <w:pPr>
        <w:spacing w:after="0" w:line="17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Proceeds from the sale or maturity of fixed-maturity securities available-for-sale were $10,553,818 and $1,505,382 for the three months ended March 31, 2020 and 2019,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Proceeds from the sale of equity securities were $5,518,428 and $246,047 for the three months ended March 31, 2020 and 2019, respectively.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color w:val="auto"/>
        </w:rPr>
        <w:t>The Company’s net (losses) gains on investments are summarized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6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9"/>
        </w:trPr>
        <w:tc>
          <w:tcPr>
            <w:tcW w:w="1360" w:type="dxa"/>
            <w:vAlign w:val="bottom"/>
          </w:tcPr>
          <w:p>
            <w:pPr>
              <w:spacing w:after="0"/>
              <w:rPr>
                <w:sz w:val="17"/>
                <w:szCs w:val="17"/>
                <w:color w:val="auto"/>
              </w:rPr>
            </w:pPr>
          </w:p>
        </w:tc>
        <w:tc>
          <w:tcPr>
            <w:tcW w:w="73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3"/>
          </w:tcPr>
          <w:p>
            <w:pPr>
              <w:jc w:val="right"/>
              <w:ind w:right="15"/>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36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8680" w:type="dxa"/>
            <w:vAlign w:val="bottom"/>
            <w:gridSpan w:val="2"/>
          </w:tcPr>
          <w:p>
            <w:pPr>
              <w:ind w:left="40"/>
              <w:spacing w:after="0"/>
              <w:rPr>
                <w:sz w:val="20"/>
                <w:szCs w:val="20"/>
                <w:color w:val="auto"/>
              </w:rPr>
            </w:pPr>
            <w:r>
              <w:rPr>
                <w:rFonts w:ascii="Arial" w:cs="Arial" w:eastAsia="Arial" w:hAnsi="Arial"/>
                <w:sz w:val="17"/>
                <w:szCs w:val="17"/>
                <w:b w:val="1"/>
                <w:bCs w:val="1"/>
                <w:color w:val="auto"/>
              </w:rPr>
              <w:t>Realized Gains (Losses)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8680" w:type="dxa"/>
            <w:vAlign w:val="bottom"/>
            <w:gridSpan w:val="2"/>
          </w:tcPr>
          <w:p>
            <w:pPr>
              <w:ind w:left="40"/>
              <w:spacing w:after="0"/>
              <w:rPr>
                <w:sz w:val="20"/>
                <w:szCs w:val="20"/>
                <w:color w:val="auto"/>
              </w:rPr>
            </w:pPr>
            <w:r>
              <w:rPr>
                <w:rFonts w:ascii="Arial" w:cs="Arial" w:eastAsia="Arial" w:hAnsi="Arial"/>
                <w:sz w:val="17"/>
                <w:szCs w:val="17"/>
                <w:b w:val="1"/>
                <w:bCs w:val="1"/>
                <w:color w:val="auto"/>
              </w:rPr>
              <w:t>Fixed-maturity securities:</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6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Gross realized gains</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204,225</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gridSpan w:val="2"/>
          </w:tcPr>
          <w:p>
            <w:pPr>
              <w:ind w:left="40"/>
              <w:spacing w:after="0"/>
              <w:rPr>
                <w:sz w:val="20"/>
                <w:szCs w:val="20"/>
                <w:color w:val="auto"/>
              </w:rPr>
            </w:pPr>
            <w:r>
              <w:rPr>
                <w:rFonts w:ascii="Arial" w:cs="Arial" w:eastAsia="Arial" w:hAnsi="Arial"/>
                <w:sz w:val="17"/>
                <w:szCs w:val="17"/>
                <w:color w:val="auto"/>
              </w:rPr>
              <w:t>Gross realized losses</w:t>
            </w: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(32,342)</w:t>
            </w:r>
          </w:p>
        </w:tc>
        <w:tc>
          <w:tcPr>
            <w:tcW w:w="3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(28,433)</w:t>
            </w:r>
          </w:p>
        </w:tc>
        <w:tc>
          <w:tcPr>
            <w:tcW w:w="0" w:type="dxa"/>
            <w:vAlign w:val="bottom"/>
          </w:tcPr>
          <w:p>
            <w:pPr>
              <w:spacing w:after="0"/>
              <w:rPr>
                <w:sz w:val="1"/>
                <w:szCs w:val="1"/>
                <w:color w:val="auto"/>
              </w:rPr>
            </w:pPr>
          </w:p>
        </w:tc>
      </w:tr>
      <w:tr>
        <w:trPr>
          <w:trHeight w:val="26"/>
        </w:trPr>
        <w:tc>
          <w:tcPr>
            <w:tcW w:w="136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360" w:type="dxa"/>
            <w:vAlign w:val="bottom"/>
            <w:shd w:val="clear" w:color="auto" w:fill="CCEEFF"/>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171,883</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(22,431)</w:t>
            </w:r>
          </w:p>
        </w:tc>
        <w:tc>
          <w:tcPr>
            <w:tcW w:w="0" w:type="dxa"/>
            <w:vAlign w:val="bottom"/>
          </w:tcPr>
          <w:p>
            <w:pPr>
              <w:spacing w:after="0"/>
              <w:rPr>
                <w:sz w:val="1"/>
                <w:szCs w:val="1"/>
                <w:color w:val="auto"/>
              </w:rPr>
            </w:pPr>
          </w:p>
        </w:tc>
      </w:tr>
      <w:tr>
        <w:trPr>
          <w:trHeight w:val="209"/>
        </w:trPr>
        <w:tc>
          <w:tcPr>
            <w:tcW w:w="1360" w:type="dxa"/>
            <w:vAlign w:val="bottom"/>
            <w:tcBorders>
              <w:top w:val="single" w:sz="8" w:color="CCEEFF"/>
            </w:tcBorders>
          </w:tcPr>
          <w:p>
            <w:pPr>
              <w:spacing w:after="0"/>
              <w:rPr>
                <w:sz w:val="18"/>
                <w:szCs w:val="18"/>
                <w:color w:val="auto"/>
              </w:rPr>
            </w:pPr>
          </w:p>
        </w:tc>
        <w:tc>
          <w:tcPr>
            <w:tcW w:w="73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Equity securities: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gridSpan w:val="2"/>
          </w:tcPr>
          <w:p>
            <w:pPr>
              <w:ind w:left="40"/>
              <w:spacing w:after="0"/>
              <w:rPr>
                <w:sz w:val="20"/>
                <w:szCs w:val="20"/>
                <w:color w:val="auto"/>
              </w:rPr>
            </w:pPr>
            <w:r>
              <w:rPr>
                <w:rFonts w:ascii="Arial" w:cs="Arial" w:eastAsia="Arial" w:hAnsi="Arial"/>
                <w:sz w:val="17"/>
                <w:szCs w:val="17"/>
                <w:color w:val="auto"/>
              </w:rPr>
              <w:t>Gross realized gains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316,513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3,200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Gross realized losses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(213,815)</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(5,961)</w:t>
            </w:r>
          </w:p>
        </w:tc>
        <w:tc>
          <w:tcPr>
            <w:tcW w:w="0" w:type="dxa"/>
            <w:vAlign w:val="bottom"/>
          </w:tcPr>
          <w:p>
            <w:pPr>
              <w:spacing w:after="0"/>
              <w:rPr>
                <w:sz w:val="1"/>
                <w:szCs w:val="1"/>
                <w:color w:val="auto"/>
              </w:rPr>
            </w:pPr>
          </w:p>
        </w:tc>
      </w:tr>
      <w:tr>
        <w:trPr>
          <w:trHeight w:val="26"/>
        </w:trPr>
        <w:tc>
          <w:tcPr>
            <w:tcW w:w="1360" w:type="dxa"/>
            <w:vAlign w:val="bottom"/>
            <w:shd w:val="clear" w:color="auto" w:fill="CCEEFF"/>
          </w:tcPr>
          <w:p>
            <w:pPr>
              <w:spacing w:after="0"/>
              <w:rPr>
                <w:sz w:val="2"/>
                <w:szCs w:val="2"/>
                <w:color w:val="auto"/>
              </w:rPr>
            </w:pPr>
          </w:p>
        </w:tc>
        <w:tc>
          <w:tcPr>
            <w:tcW w:w="7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36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102,698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(2,761)</w:t>
            </w:r>
          </w:p>
        </w:tc>
        <w:tc>
          <w:tcPr>
            <w:tcW w:w="0" w:type="dxa"/>
            <w:vAlign w:val="bottom"/>
          </w:tcPr>
          <w:p>
            <w:pPr>
              <w:spacing w:after="0"/>
              <w:rPr>
                <w:sz w:val="1"/>
                <w:szCs w:val="1"/>
                <w:color w:val="auto"/>
              </w:rPr>
            </w:pPr>
          </w:p>
        </w:tc>
      </w:tr>
      <w:tr>
        <w:trPr>
          <w:trHeight w:val="209"/>
        </w:trPr>
        <w:tc>
          <w:tcPr>
            <w:tcW w:w="1360" w:type="dxa"/>
            <w:vAlign w:val="bottom"/>
            <w:shd w:val="clear" w:color="auto" w:fill="CCEEFF"/>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80" w:type="dxa"/>
            <w:vAlign w:val="bottom"/>
            <w:gridSpan w:val="2"/>
          </w:tcPr>
          <w:p>
            <w:pPr>
              <w:ind w:left="40"/>
              <w:spacing w:after="0"/>
              <w:rPr>
                <w:sz w:val="20"/>
                <w:szCs w:val="20"/>
                <w:color w:val="auto"/>
              </w:rPr>
            </w:pPr>
            <w:r>
              <w:rPr>
                <w:rFonts w:ascii="Arial" w:cs="Arial" w:eastAsia="Arial" w:hAnsi="Arial"/>
                <w:sz w:val="17"/>
                <w:szCs w:val="17"/>
                <w:color w:val="auto"/>
              </w:rPr>
              <w:t>Net realized gains (losses)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274,581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(25,192)</w:t>
            </w:r>
          </w:p>
        </w:tc>
        <w:tc>
          <w:tcPr>
            <w:tcW w:w="0" w:type="dxa"/>
            <w:vAlign w:val="bottom"/>
          </w:tcPr>
          <w:p>
            <w:pPr>
              <w:spacing w:after="0"/>
              <w:rPr>
                <w:sz w:val="1"/>
                <w:szCs w:val="1"/>
                <w:color w:val="auto"/>
              </w:rPr>
            </w:pPr>
          </w:p>
        </w:tc>
      </w:tr>
      <w:tr>
        <w:trPr>
          <w:trHeight w:val="209"/>
        </w:trPr>
        <w:tc>
          <w:tcPr>
            <w:tcW w:w="1360" w:type="dxa"/>
            <w:vAlign w:val="bottom"/>
            <w:shd w:val="clear" w:color="auto" w:fill="CCEEFF"/>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gridSpan w:val="2"/>
          </w:tcPr>
          <w:p>
            <w:pPr>
              <w:ind w:left="40"/>
              <w:spacing w:after="0"/>
              <w:rPr>
                <w:sz w:val="20"/>
                <w:szCs w:val="20"/>
                <w:color w:val="auto"/>
              </w:rPr>
            </w:pPr>
            <w:r>
              <w:rPr>
                <w:rFonts w:ascii="Arial" w:cs="Arial" w:eastAsia="Arial" w:hAnsi="Arial"/>
                <w:sz w:val="17"/>
                <w:szCs w:val="17"/>
                <w:b w:val="1"/>
                <w:bCs w:val="1"/>
                <w:color w:val="auto"/>
              </w:rPr>
              <w:t>Unrealized (Losses) Gains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60" w:type="dxa"/>
            <w:vAlign w:val="bottom"/>
            <w:shd w:val="clear" w:color="auto" w:fill="CCEEFF"/>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gridSpan w:val="2"/>
          </w:tcPr>
          <w:p>
            <w:pPr>
              <w:ind w:left="40"/>
              <w:spacing w:after="0"/>
              <w:rPr>
                <w:sz w:val="20"/>
                <w:szCs w:val="20"/>
                <w:color w:val="auto"/>
              </w:rPr>
            </w:pPr>
            <w:r>
              <w:rPr>
                <w:rFonts w:ascii="Arial" w:cs="Arial" w:eastAsia="Arial" w:hAnsi="Arial"/>
                <w:sz w:val="17"/>
                <w:szCs w:val="17"/>
                <w:b w:val="1"/>
                <w:bCs w:val="1"/>
                <w:color w:val="auto"/>
              </w:rPr>
              <w:t>Equity securities:</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Gross gains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1,767,835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gridSpan w:val="2"/>
          </w:tcPr>
          <w:p>
            <w:pPr>
              <w:ind w:left="40"/>
              <w:spacing w:after="0"/>
              <w:rPr>
                <w:sz w:val="20"/>
                <w:szCs w:val="20"/>
                <w:color w:val="auto"/>
              </w:rPr>
            </w:pPr>
            <w:r>
              <w:rPr>
                <w:rFonts w:ascii="Arial" w:cs="Arial" w:eastAsia="Arial" w:hAnsi="Arial"/>
                <w:sz w:val="17"/>
                <w:szCs w:val="17"/>
                <w:color w:val="auto"/>
              </w:rPr>
              <w:t>Gross losses</w:t>
            </w: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(6,121,608)</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360" w:type="dxa"/>
            <w:vAlign w:val="bottom"/>
          </w:tcPr>
          <w:p>
            <w:pPr>
              <w:spacing w:after="0"/>
              <w:rPr>
                <w:sz w:val="2"/>
                <w:szCs w:val="2"/>
                <w:color w:val="auto"/>
              </w:rPr>
            </w:pPr>
          </w:p>
        </w:tc>
        <w:tc>
          <w:tcPr>
            <w:tcW w:w="7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360" w:type="dxa"/>
            <w:vAlign w:val="bottom"/>
            <w:shd w:val="clear" w:color="auto" w:fill="CCEEFF"/>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(6,121,608)</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1,767,835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60" w:type="dxa"/>
            <w:vAlign w:val="bottom"/>
            <w:tcBorders>
              <w:top w:val="single" w:sz="8" w:color="CCEEFF"/>
            </w:tcBorders>
          </w:tcPr>
          <w:p>
            <w:pPr>
              <w:spacing w:after="0"/>
              <w:rPr>
                <w:sz w:val="18"/>
                <w:szCs w:val="18"/>
                <w:color w:val="auto"/>
              </w:rPr>
            </w:pPr>
          </w:p>
        </w:tc>
        <w:tc>
          <w:tcPr>
            <w:tcW w:w="73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Other investments: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gridSpan w:val="2"/>
          </w:tcPr>
          <w:p>
            <w:pPr>
              <w:ind w:left="40"/>
              <w:spacing w:after="0"/>
              <w:rPr>
                <w:sz w:val="20"/>
                <w:szCs w:val="20"/>
                <w:color w:val="auto"/>
              </w:rPr>
            </w:pPr>
            <w:r>
              <w:rPr>
                <w:rFonts w:ascii="Arial" w:cs="Arial" w:eastAsia="Arial" w:hAnsi="Arial"/>
                <w:sz w:val="17"/>
                <w:szCs w:val="17"/>
                <w:color w:val="auto"/>
              </w:rPr>
              <w:t>Gross gains</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292,720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Gross losses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(597,391)</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360" w:type="dxa"/>
            <w:vAlign w:val="bottom"/>
            <w:shd w:val="clear" w:color="auto" w:fill="CCEEFF"/>
          </w:tcPr>
          <w:p>
            <w:pPr>
              <w:spacing w:after="0"/>
              <w:rPr>
                <w:sz w:val="2"/>
                <w:szCs w:val="2"/>
                <w:color w:val="auto"/>
              </w:rPr>
            </w:pPr>
          </w:p>
        </w:tc>
        <w:tc>
          <w:tcPr>
            <w:tcW w:w="73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36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(597,391)</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292,720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60" w:type="dxa"/>
            <w:vAlign w:val="bottom"/>
            <w:shd w:val="clear" w:color="auto" w:fill="CCEEFF"/>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80" w:type="dxa"/>
            <w:vAlign w:val="bottom"/>
            <w:gridSpan w:val="2"/>
          </w:tcPr>
          <w:p>
            <w:pPr>
              <w:ind w:left="40"/>
              <w:spacing w:after="0"/>
              <w:rPr>
                <w:sz w:val="20"/>
                <w:szCs w:val="20"/>
                <w:color w:val="auto"/>
              </w:rPr>
            </w:pPr>
            <w:r>
              <w:rPr>
                <w:rFonts w:ascii="Arial" w:cs="Arial" w:eastAsia="Arial" w:hAnsi="Arial"/>
                <w:sz w:val="17"/>
                <w:szCs w:val="17"/>
                <w:color w:val="auto"/>
              </w:rPr>
              <w:t>Net unrealized (losses) gains</w:t>
            </w: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(6,718,999)</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2,060,555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360" w:type="dxa"/>
            <w:vAlign w:val="bottom"/>
            <w:shd w:val="clear" w:color="auto" w:fill="CCEEFF"/>
          </w:tcPr>
          <w:p>
            <w:pPr>
              <w:spacing w:after="0"/>
              <w:rPr>
                <w:sz w:val="18"/>
                <w:szCs w:val="18"/>
                <w:color w:val="auto"/>
              </w:rPr>
            </w:pPr>
          </w:p>
        </w:tc>
        <w:tc>
          <w:tcPr>
            <w:tcW w:w="73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gridSpan w:val="2"/>
          </w:tcPr>
          <w:p>
            <w:pPr>
              <w:ind w:left="40"/>
              <w:spacing w:after="0"/>
              <w:rPr>
                <w:sz w:val="20"/>
                <w:szCs w:val="20"/>
                <w:color w:val="auto"/>
              </w:rPr>
            </w:pPr>
            <w:r>
              <w:rPr>
                <w:rFonts w:ascii="Arial" w:cs="Arial" w:eastAsia="Arial" w:hAnsi="Arial"/>
                <w:sz w:val="17"/>
                <w:szCs w:val="17"/>
                <w:color w:val="auto"/>
              </w:rPr>
              <w:t>Net (losses) gains on investments</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(6,444,418)</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2,035,363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rPr>
                <w:sz w:val="20"/>
                <w:szCs w:val="20"/>
                <w:color w:val="auto"/>
              </w:rPr>
            </w:pPr>
            <w:r>
              <w:rPr>
                <w:rFonts w:ascii="Arial" w:cs="Arial" w:eastAsia="Arial" w:hAnsi="Arial"/>
                <w:sz w:val="17"/>
                <w:szCs w:val="17"/>
                <w:color w:val="auto"/>
                <w:w w:val="92"/>
              </w:rPr>
              <w:t>Impairment Review</w:t>
            </w:r>
          </w:p>
        </w:tc>
        <w:tc>
          <w:tcPr>
            <w:tcW w:w="7320" w:type="dxa"/>
            <w:vAlign w:val="bottom"/>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1360" w:type="dxa"/>
            <w:vAlign w:val="bottom"/>
            <w:tcBorders>
              <w:bottom w:val="single" w:sz="8" w:color="auto"/>
            </w:tcBorders>
            <w:vMerge w:val="continue"/>
          </w:tcPr>
          <w:p>
            <w:pPr>
              <w:spacing w:after="0"/>
              <w:rPr>
                <w:sz w:val="24"/>
                <w:szCs w:val="24"/>
                <w:color w:val="auto"/>
              </w:rPr>
            </w:pPr>
          </w:p>
        </w:tc>
        <w:tc>
          <w:tcPr>
            <w:tcW w:w="73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Impairment of investment securities results in a charge to operations when a market decline below cost is deemed to be other-than-temporary. The Company regularly reviews its fixed-maturity securities to evaluate the necessity of recording impairment losses for other-than-temporary declines in the estimated fair value of investments. In evaluating potential impairment, GAAP specifies (i) if the Company does not have the intent to sell a debt security prior to recovery and (ii) it is more likely than not that it will not have to sell the debt security prior to recovery, the security would not be considered other-than-temporarily impaired unless there is a credit loss. When the Company does not intend to sell the security and it is more likely than not that the Company will not have to sell the security before recovery of its cost basis, it will recognize the credit component of an other-than-temporary impairment (“OTTI”) of a debt security in earnings and the remaining portion in comprehensive loss. The credit loss component recognized in earnings is identified as the amount of principal cash flows not expected to be received over the remaining term of the security as projected based on cash flow projections. For held-to-maturity debt securities, the amount of OTTI recorded in comprehensive loss for the noncredit portion of a previous OTTI is amortized prospectively over the remaining life of the security on the basis of timing of future estimated cash flows of the security.</w:t>
      </w:r>
    </w:p>
    <w:p>
      <w:pPr>
        <w:spacing w:after="0" w:line="191"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OTTI losses are recorded in the condensed consolidated statements of operations and comprehensive loss as net realized losses on investments and result in a permanent reduction of the cost basis of the underlying investment. The determination of OTTI is a subjective process and different judgments and assumptions could affect the timing of loss realization. At March 31, 2020 and December 31, 2019, there were 80 and 39 fixed-maturity securities, respectively, that accounted for the gross unrealized loss. The Company determined that none of the unrealized losses were deemed to be OTTI for its portfolio of investments for the three months ended March 31, 2020 and 2019. Significant factors influencing the Company’s determination that unrealized losses were temporary included the magnitude of the unrealized losses in relation to each security’s cost, the nature of the investment and management’s intent and ability to retain the investment for a period of time sufficient to allow for an anticipated recovery of estimated fair value to the Company’s cost basis.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color w:val="auto"/>
        </w:rPr>
        <w:t>The Company held available-for-sale securities with unrealized losses representing declines that were considered temporary at March 31, 2020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tcPr>
          <w:p>
            <w:pPr>
              <w:jc w:val="right"/>
              <w:ind w:right="720"/>
              <w:spacing w:after="0"/>
              <w:rPr>
                <w:sz w:val="20"/>
                <w:szCs w:val="20"/>
                <w:color w:val="auto"/>
              </w:rPr>
            </w:pPr>
            <w:r>
              <w:rPr>
                <w:rFonts w:ascii="Arial" w:cs="Arial" w:eastAsia="Arial" w:hAnsi="Arial"/>
                <w:sz w:val="14"/>
                <w:szCs w:val="14"/>
                <w:b w:val="1"/>
                <w:bCs w:val="1"/>
                <w:color w:val="auto"/>
              </w:rPr>
              <w:t>March 31, 2020</w:t>
            </w:r>
          </w:p>
        </w:tc>
        <w:tc>
          <w:tcPr>
            <w:tcW w:w="9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89"/>
        </w:trPr>
        <w:tc>
          <w:tcPr>
            <w:tcW w:w="2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6"/>
          </w:tcPr>
          <w:p>
            <w:pPr>
              <w:jc w:val="right"/>
              <w:ind w:right="120"/>
              <w:spacing w:after="0" w:line="137" w:lineRule="exact"/>
              <w:rPr>
                <w:sz w:val="20"/>
                <w:szCs w:val="20"/>
                <w:color w:val="auto"/>
              </w:rPr>
            </w:pPr>
            <w:r>
              <w:rPr>
                <w:rFonts w:ascii="Arial" w:cs="Arial" w:eastAsia="Arial" w:hAnsi="Arial"/>
                <w:sz w:val="14"/>
                <w:szCs w:val="14"/>
                <w:b w:val="1"/>
                <w:bCs w:val="1"/>
                <w:color w:val="auto"/>
              </w:rPr>
              <w:t>Less than 12 months</w:t>
            </w:r>
          </w:p>
        </w:tc>
        <w:tc>
          <w:tcPr>
            <w:tcW w:w="8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right"/>
              <w:ind w:right="160"/>
              <w:spacing w:after="0" w:line="137" w:lineRule="exact"/>
              <w:rPr>
                <w:sz w:val="20"/>
                <w:szCs w:val="20"/>
                <w:color w:val="auto"/>
              </w:rPr>
            </w:pPr>
            <w:r>
              <w:rPr>
                <w:rFonts w:ascii="Arial" w:cs="Arial" w:eastAsia="Arial" w:hAnsi="Arial"/>
                <w:sz w:val="14"/>
                <w:szCs w:val="14"/>
                <w:b w:val="1"/>
                <w:bCs w:val="1"/>
                <w:color w:val="auto"/>
                <w:w w:val="92"/>
              </w:rPr>
              <w:t>12 months or more</w:t>
            </w: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20"/>
              <w:spacing w:after="0" w:line="137" w:lineRule="exact"/>
              <w:rPr>
                <w:sz w:val="20"/>
                <w:szCs w:val="20"/>
                <w:color w:val="auto"/>
              </w:rPr>
            </w:pPr>
            <w:r>
              <w:rPr>
                <w:rFonts w:ascii="Arial" w:cs="Arial" w:eastAsia="Arial" w:hAnsi="Arial"/>
                <w:sz w:val="14"/>
                <w:szCs w:val="14"/>
                <w:b w:val="1"/>
                <w:bCs w:val="1"/>
                <w:color w:val="auto"/>
              </w:rPr>
              <w:t>Total</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43"/>
        </w:trPr>
        <w:tc>
          <w:tcPr>
            <w:tcW w:w="2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92"/>
              </w:rPr>
              <w:t>Estimated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90"/>
              </w:rPr>
              <w:t>No. of</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Estimated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95"/>
              </w:rPr>
              <w:t>No. of</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w w:val="92"/>
              </w:rPr>
              <w:t>Estimated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7"/>
        </w:trPr>
        <w:tc>
          <w:tcPr>
            <w:tcW w:w="2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320"/>
              <w:spacing w:after="0" w:line="157" w:lineRule="exact"/>
              <w:rPr>
                <w:sz w:val="20"/>
                <w:szCs w:val="20"/>
                <w:color w:val="auto"/>
              </w:rPr>
            </w:pPr>
            <w:r>
              <w:rPr>
                <w:rFonts w:ascii="Arial" w:cs="Arial" w:eastAsia="Arial" w:hAnsi="Arial"/>
                <w:sz w:val="14"/>
                <w:szCs w:val="14"/>
                <w:b w:val="1"/>
                <w:bCs w:val="1"/>
                <w:color w:val="auto"/>
                <w:w w:val="95"/>
              </w:rPr>
              <w:t>Unrealized</w:t>
            </w:r>
          </w:p>
        </w:tc>
        <w:tc>
          <w:tcPr>
            <w:tcW w:w="90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88"/>
              </w:rPr>
              <w:t>Positions</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320"/>
              <w:spacing w:after="0" w:line="157" w:lineRule="exact"/>
              <w:rPr>
                <w:sz w:val="20"/>
                <w:szCs w:val="20"/>
                <w:color w:val="auto"/>
              </w:rPr>
            </w:pPr>
            <w:r>
              <w:rPr>
                <w:rFonts w:ascii="Arial" w:cs="Arial" w:eastAsia="Arial" w:hAnsi="Arial"/>
                <w:sz w:val="14"/>
                <w:szCs w:val="14"/>
                <w:b w:val="1"/>
                <w:bCs w:val="1"/>
                <w:color w:val="auto"/>
                <w:w w:val="95"/>
              </w:rPr>
              <w:t>Unrealized</w:t>
            </w:r>
          </w:p>
        </w:tc>
        <w:tc>
          <w:tcPr>
            <w:tcW w:w="92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85"/>
              </w:rPr>
              <w:t>Positions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jc w:val="right"/>
              <w:ind w:right="200"/>
              <w:spacing w:after="0" w:line="157" w:lineRule="exact"/>
              <w:rPr>
                <w:sz w:val="20"/>
                <w:szCs w:val="20"/>
                <w:color w:val="auto"/>
              </w:rPr>
            </w:pPr>
            <w:r>
              <w:rPr>
                <w:rFonts w:ascii="Arial" w:cs="Arial" w:eastAsia="Arial" w:hAnsi="Arial"/>
                <w:sz w:val="14"/>
                <w:szCs w:val="14"/>
                <w:b w:val="1"/>
                <w:bCs w:val="1"/>
                <w:color w:val="auto"/>
                <w:w w:val="95"/>
              </w:rPr>
              <w:t>Unrealized</w:t>
            </w:r>
          </w:p>
        </w:tc>
      </w:tr>
      <w:tr>
        <w:trPr>
          <w:trHeight w:val="176"/>
        </w:trPr>
        <w:tc>
          <w:tcPr>
            <w:tcW w:w="2260" w:type="dxa"/>
            <w:vAlign w:val="bottom"/>
          </w:tcPr>
          <w:p>
            <w:pPr>
              <w:ind w:left="40"/>
              <w:spacing w:after="0"/>
              <w:rPr>
                <w:sz w:val="20"/>
                <w:szCs w:val="20"/>
                <w:color w:val="auto"/>
              </w:rPr>
            </w:pPr>
            <w:r>
              <w:rPr>
                <w:rFonts w:ascii="Arial" w:cs="Arial" w:eastAsia="Arial" w:hAnsi="Arial"/>
                <w:sz w:val="14"/>
                <w:szCs w:val="14"/>
                <w:b w:val="1"/>
                <w:bCs w:val="1"/>
                <w:color w:val="auto"/>
              </w:rPr>
              <w:t>Categor</w:t>
            </w:r>
            <w:r>
              <w:rPr>
                <w:rFonts w:ascii="Arial" w:cs="Arial" w:eastAsia="Arial" w:hAnsi="Arial"/>
                <w:sz w:val="14"/>
                <w:szCs w:val="14"/>
                <w:color w:val="auto"/>
              </w:rPr>
              <w:t>y</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Losses</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Held</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1"/>
              <w:spacing w:after="0"/>
              <w:rPr>
                <w:sz w:val="20"/>
                <w:szCs w:val="20"/>
                <w:color w:val="auto"/>
              </w:rPr>
            </w:pPr>
            <w:r>
              <w:rPr>
                <w:rFonts w:ascii="Arial" w:cs="Arial" w:eastAsia="Arial" w:hAnsi="Arial"/>
                <w:sz w:val="14"/>
                <w:szCs w:val="14"/>
                <w:b w:val="1"/>
                <w:bCs w:val="1"/>
                <w:color w:val="auto"/>
                <w:w w:val="96"/>
              </w:rPr>
              <w:t>Value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Losses</w:t>
            </w: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Held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Losses</w:t>
            </w:r>
          </w:p>
        </w:tc>
      </w:tr>
      <w:tr>
        <w:trPr>
          <w:trHeight w:val="233"/>
        </w:trPr>
        <w:tc>
          <w:tcPr>
            <w:tcW w:w="226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Fixed-Maturity Securities: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5"/>
        </w:trPr>
        <w:tc>
          <w:tcPr>
            <w:tcW w:w="2260" w:type="dxa"/>
            <w:vAlign w:val="bottom"/>
          </w:tcPr>
          <w:p>
            <w:pPr>
              <w:ind w:left="40"/>
              <w:spacing w:after="0"/>
              <w:rPr>
                <w:sz w:val="20"/>
                <w:szCs w:val="20"/>
                <w:color w:val="auto"/>
              </w:rPr>
            </w:pPr>
            <w:r>
              <w:rPr>
                <w:rFonts w:ascii="Arial" w:cs="Arial" w:eastAsia="Arial" w:hAnsi="Arial"/>
                <w:sz w:val="17"/>
                <w:szCs w:val="17"/>
                <w:color w:val="auto"/>
              </w:rPr>
              <w:t>U.S. Treasury securities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5"/>
        </w:trPr>
        <w:tc>
          <w:tcPr>
            <w:tcW w:w="2260" w:type="dxa"/>
            <w:vAlign w:val="bottom"/>
          </w:tcPr>
          <w:p>
            <w:pPr>
              <w:ind w:left="40"/>
              <w:spacing w:after="0"/>
              <w:rPr>
                <w:sz w:val="20"/>
                <w:szCs w:val="20"/>
                <w:color w:val="auto"/>
              </w:rPr>
            </w:pPr>
            <w:r>
              <w:rPr>
                <w:rFonts w:ascii="Arial" w:cs="Arial" w:eastAsia="Arial" w:hAnsi="Arial"/>
                <w:sz w:val="17"/>
                <w:szCs w:val="17"/>
                <w:color w:val="auto"/>
              </w:rPr>
              <w:t>and obligations of U.S.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6"/>
        </w:trPr>
        <w:tc>
          <w:tcPr>
            <w:tcW w:w="2260" w:type="dxa"/>
            <w:vAlign w:val="bottom"/>
          </w:tcPr>
          <w:p>
            <w:pPr>
              <w:ind w:left="40"/>
              <w:spacing w:after="0"/>
              <w:rPr>
                <w:sz w:val="20"/>
                <w:szCs w:val="20"/>
                <w:color w:val="auto"/>
              </w:rPr>
            </w:pPr>
            <w:r>
              <w:rPr>
                <w:rFonts w:ascii="Arial" w:cs="Arial" w:eastAsia="Arial" w:hAnsi="Arial"/>
                <w:sz w:val="17"/>
                <w:szCs w:val="17"/>
                <w:color w:val="auto"/>
              </w:rPr>
              <w:t>government corporations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260" w:type="dxa"/>
            <w:vAlign w:val="bottom"/>
            <w:shd w:val="clear" w:color="auto" w:fill="CCEEFF"/>
          </w:tcPr>
          <w:p>
            <w:pPr>
              <w:ind w:left="40"/>
              <w:spacing w:after="0"/>
              <w:rPr>
                <w:sz w:val="20"/>
                <w:szCs w:val="20"/>
                <w:color w:val="auto"/>
              </w:rPr>
            </w:pPr>
            <w:r>
              <w:rPr>
                <w:rFonts w:ascii="Arial" w:cs="Arial" w:eastAsia="Arial" w:hAnsi="Arial"/>
                <w:sz w:val="17"/>
                <w:szCs w:val="17"/>
                <w:color w:val="auto"/>
              </w:rPr>
              <w:t>and agencies</w:t>
            </w:r>
          </w:p>
        </w:tc>
        <w:tc>
          <w:tcPr>
            <w:tcW w:w="2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r>
      <w:tr>
        <w:trPr>
          <w:trHeight w:val="209"/>
        </w:trPr>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226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Political subdivisions of</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2260" w:type="dxa"/>
            <w:vAlign w:val="bottom"/>
          </w:tcPr>
          <w:p>
            <w:pPr>
              <w:ind w:left="40"/>
              <w:spacing w:after="0"/>
              <w:rPr>
                <w:sz w:val="20"/>
                <w:szCs w:val="20"/>
                <w:color w:val="auto"/>
              </w:rPr>
            </w:pPr>
            <w:r>
              <w:rPr>
                <w:rFonts w:ascii="Arial" w:cs="Arial" w:eastAsia="Arial" w:hAnsi="Arial"/>
                <w:sz w:val="17"/>
                <w:szCs w:val="17"/>
                <w:color w:val="auto"/>
              </w:rPr>
              <w:t>States, Territories and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226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Possessions</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r>
      <w:tr>
        <w:trPr>
          <w:trHeight w:val="209"/>
        </w:trPr>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226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Corporate and other</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2260" w:type="dxa"/>
            <w:vAlign w:val="bottom"/>
          </w:tcPr>
          <w:p>
            <w:pPr>
              <w:ind w:left="40"/>
              <w:spacing w:after="0"/>
              <w:rPr>
                <w:sz w:val="20"/>
                <w:szCs w:val="20"/>
                <w:color w:val="auto"/>
              </w:rPr>
            </w:pPr>
            <w:r>
              <w:rPr>
                <w:rFonts w:ascii="Arial" w:cs="Arial" w:eastAsia="Arial" w:hAnsi="Arial"/>
                <w:sz w:val="17"/>
                <w:szCs w:val="17"/>
                <w:color w:val="auto"/>
              </w:rPr>
              <w:t>bonds industrial and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2260" w:type="dxa"/>
            <w:vAlign w:val="bottom"/>
            <w:shd w:val="clear" w:color="auto" w:fill="CCEEFF"/>
          </w:tcPr>
          <w:p>
            <w:pPr>
              <w:ind w:left="40"/>
              <w:spacing w:after="0"/>
              <w:rPr>
                <w:sz w:val="20"/>
                <w:szCs w:val="20"/>
                <w:color w:val="auto"/>
              </w:rPr>
            </w:pPr>
            <w:r>
              <w:rPr>
                <w:rFonts w:ascii="Arial" w:cs="Arial" w:eastAsia="Arial" w:hAnsi="Arial"/>
                <w:sz w:val="17"/>
                <w:szCs w:val="17"/>
                <w:color w:val="auto"/>
              </w:rPr>
              <w:t>miscellaneous</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9"/>
              </w:rPr>
              <w:t>35,409,999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4"/>
              </w:rPr>
              <w:t>(2,258,459)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9"/>
              </w:rPr>
              <w:t>35,409,999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w w:val="94"/>
              </w:rPr>
              <w:t>(2,258,459)</w:t>
            </w:r>
          </w:p>
        </w:tc>
      </w:tr>
      <w:tr>
        <w:trPr>
          <w:trHeight w:val="209"/>
        </w:trPr>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2260" w:type="dxa"/>
            <w:vAlign w:val="bottom"/>
            <w:shd w:val="clear" w:color="auto" w:fill="CCEEFF"/>
          </w:tcPr>
          <w:p>
            <w:pPr>
              <w:ind w:left="40"/>
              <w:spacing w:after="0"/>
              <w:rPr>
                <w:sz w:val="20"/>
                <w:szCs w:val="20"/>
                <w:color w:val="auto"/>
              </w:rPr>
            </w:pPr>
            <w:r>
              <w:rPr>
                <w:rFonts w:ascii="Arial" w:cs="Arial" w:eastAsia="Arial" w:hAnsi="Arial"/>
                <w:sz w:val="17"/>
                <w:szCs w:val="17"/>
                <w:color w:val="auto"/>
                <w:w w:val="92"/>
              </w:rPr>
              <w:t>Residential mortgage and other</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2260" w:type="dxa"/>
            <w:vAlign w:val="bottom"/>
          </w:tcPr>
          <w:p>
            <w:pPr>
              <w:ind w:left="40"/>
              <w:spacing w:after="0"/>
              <w:rPr>
                <w:sz w:val="20"/>
                <w:szCs w:val="20"/>
                <w:color w:val="auto"/>
              </w:rPr>
            </w:pPr>
            <w:r>
              <w:rPr>
                <w:rFonts w:ascii="Arial" w:cs="Arial" w:eastAsia="Arial" w:hAnsi="Arial"/>
                <w:sz w:val="17"/>
                <w:szCs w:val="17"/>
                <w:color w:val="auto"/>
              </w:rPr>
              <w:t>asset backed securities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6,067,674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(938,478)</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w w:val="91"/>
              </w:rPr>
              <w:t>10,286,307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(1,145,973)</w:t>
            </w: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17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w w:val="89"/>
              </w:rPr>
              <w:t>16,353,981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7"/>
                <w:szCs w:val="17"/>
                <w:color w:val="auto"/>
                <w:w w:val="94"/>
              </w:rPr>
              <w:t>(2,084,451)</w:t>
            </w:r>
          </w:p>
        </w:tc>
      </w:tr>
      <w:tr>
        <w:trPr>
          <w:trHeight w:val="209"/>
        </w:trPr>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2260" w:type="dxa"/>
            <w:vAlign w:val="bottom"/>
          </w:tcPr>
          <w:p>
            <w:pPr>
              <w:ind w:left="40"/>
              <w:spacing w:after="0"/>
              <w:rPr>
                <w:sz w:val="20"/>
                <w:szCs w:val="20"/>
                <w:color w:val="auto"/>
              </w:rPr>
            </w:pPr>
            <w:r>
              <w:rPr>
                <w:rFonts w:ascii="Arial" w:cs="Arial" w:eastAsia="Arial" w:hAnsi="Arial"/>
                <w:sz w:val="17"/>
                <w:szCs w:val="17"/>
                <w:color w:val="auto"/>
              </w:rPr>
              <w:t>Total fixed-maturity</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2260" w:type="dxa"/>
            <w:vAlign w:val="bottom"/>
            <w:shd w:val="clear" w:color="auto" w:fill="CCEEFF"/>
          </w:tcPr>
          <w:p>
            <w:pPr>
              <w:ind w:left="40"/>
              <w:spacing w:after="0"/>
              <w:rPr>
                <w:sz w:val="20"/>
                <w:szCs w:val="20"/>
                <w:color w:val="auto"/>
              </w:rPr>
            </w:pPr>
            <w:r>
              <w:rPr>
                <w:rFonts w:ascii="Arial" w:cs="Arial" w:eastAsia="Arial" w:hAnsi="Arial"/>
                <w:sz w:val="17"/>
                <w:szCs w:val="17"/>
                <w:color w:val="auto"/>
              </w:rPr>
              <w:t>securities</w:t>
            </w:r>
          </w:p>
        </w:tc>
        <w:tc>
          <w:tcPr>
            <w:tcW w:w="2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9"/>
              </w:rPr>
              <w:t>41,477,673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4"/>
              </w:rPr>
              <w:t>(3,196,937)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10,286,307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6"/>
              </w:rPr>
              <w:t>(1,145,973)</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9"/>
              </w:rPr>
              <w:t>51,763,980</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4"/>
              </w:rPr>
              <w:t>$</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w w:val="94"/>
              </w:rPr>
              <w:t>(4,342,910)</w:t>
            </w:r>
          </w:p>
        </w:tc>
      </w:tr>
      <w:tr>
        <w:trPr>
          <w:trHeight w:val="618"/>
        </w:trPr>
        <w:tc>
          <w:tcPr>
            <w:tcW w:w="22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7"/>
                <w:szCs w:val="17"/>
                <w:color w:val="auto"/>
                <w:w w:val="84"/>
              </w:rPr>
              <w:t>13</w:t>
            </w:r>
          </w:p>
        </w:tc>
        <w:tc>
          <w:tcPr>
            <w:tcW w:w="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49"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The Company held available-for-sale securities with unrealized losses representing declines that were considered temporary at December 31, 2019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4"/>
                <w:szCs w:val="14"/>
                <w:b w:val="1"/>
                <w:bCs w:val="1"/>
                <w:color w:val="auto"/>
              </w:rPr>
              <w:t>December 31, 2019</w:t>
            </w:r>
          </w:p>
        </w:tc>
        <w:tc>
          <w:tcPr>
            <w:tcW w:w="9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89"/>
        </w:trPr>
        <w:tc>
          <w:tcPr>
            <w:tcW w:w="2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6"/>
          </w:tcPr>
          <w:p>
            <w:pPr>
              <w:jc w:val="right"/>
              <w:ind w:right="120"/>
              <w:spacing w:after="0" w:line="137" w:lineRule="exact"/>
              <w:rPr>
                <w:sz w:val="20"/>
                <w:szCs w:val="20"/>
                <w:color w:val="auto"/>
              </w:rPr>
            </w:pPr>
            <w:r>
              <w:rPr>
                <w:rFonts w:ascii="Arial" w:cs="Arial" w:eastAsia="Arial" w:hAnsi="Arial"/>
                <w:sz w:val="14"/>
                <w:szCs w:val="14"/>
                <w:b w:val="1"/>
                <w:bCs w:val="1"/>
                <w:color w:val="auto"/>
              </w:rPr>
              <w:t>Less than 12 months</w:t>
            </w:r>
          </w:p>
        </w:tc>
        <w:tc>
          <w:tcPr>
            <w:tcW w:w="8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right"/>
              <w:ind w:right="160"/>
              <w:spacing w:after="0" w:line="137" w:lineRule="exact"/>
              <w:rPr>
                <w:sz w:val="20"/>
                <w:szCs w:val="20"/>
                <w:color w:val="auto"/>
              </w:rPr>
            </w:pPr>
            <w:r>
              <w:rPr>
                <w:rFonts w:ascii="Arial" w:cs="Arial" w:eastAsia="Arial" w:hAnsi="Arial"/>
                <w:sz w:val="14"/>
                <w:szCs w:val="14"/>
                <w:b w:val="1"/>
                <w:bCs w:val="1"/>
                <w:color w:val="auto"/>
                <w:w w:val="92"/>
              </w:rPr>
              <w:t>12 months or more</w:t>
            </w: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20"/>
              <w:spacing w:after="0" w:line="137" w:lineRule="exact"/>
              <w:rPr>
                <w:sz w:val="20"/>
                <w:szCs w:val="20"/>
                <w:color w:val="auto"/>
              </w:rPr>
            </w:pPr>
            <w:r>
              <w:rPr>
                <w:rFonts w:ascii="Arial" w:cs="Arial" w:eastAsia="Arial" w:hAnsi="Arial"/>
                <w:sz w:val="14"/>
                <w:szCs w:val="14"/>
                <w:b w:val="1"/>
                <w:bCs w:val="1"/>
                <w:color w:val="auto"/>
              </w:rPr>
              <w:t>Total</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43"/>
        </w:trPr>
        <w:tc>
          <w:tcPr>
            <w:tcW w:w="2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92"/>
              </w:rPr>
              <w:t>Estimated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90"/>
              </w:rPr>
              <w:t>No. of</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Estimated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95"/>
              </w:rPr>
              <w:t>No. of</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w w:val="92"/>
              </w:rPr>
              <w:t>Estimated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7"/>
        </w:trPr>
        <w:tc>
          <w:tcPr>
            <w:tcW w:w="2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320"/>
              <w:spacing w:after="0" w:line="157" w:lineRule="exact"/>
              <w:rPr>
                <w:sz w:val="20"/>
                <w:szCs w:val="20"/>
                <w:color w:val="auto"/>
              </w:rPr>
            </w:pPr>
            <w:r>
              <w:rPr>
                <w:rFonts w:ascii="Arial" w:cs="Arial" w:eastAsia="Arial" w:hAnsi="Arial"/>
                <w:sz w:val="14"/>
                <w:szCs w:val="14"/>
                <w:b w:val="1"/>
                <w:bCs w:val="1"/>
                <w:color w:val="auto"/>
                <w:w w:val="95"/>
              </w:rPr>
              <w:t>Unrealized</w:t>
            </w:r>
          </w:p>
        </w:tc>
        <w:tc>
          <w:tcPr>
            <w:tcW w:w="90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88"/>
              </w:rPr>
              <w:t>Positions</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320"/>
              <w:spacing w:after="0" w:line="157" w:lineRule="exact"/>
              <w:rPr>
                <w:sz w:val="20"/>
                <w:szCs w:val="20"/>
                <w:color w:val="auto"/>
              </w:rPr>
            </w:pPr>
            <w:r>
              <w:rPr>
                <w:rFonts w:ascii="Arial" w:cs="Arial" w:eastAsia="Arial" w:hAnsi="Arial"/>
                <w:sz w:val="14"/>
                <w:szCs w:val="14"/>
                <w:b w:val="1"/>
                <w:bCs w:val="1"/>
                <w:color w:val="auto"/>
                <w:w w:val="95"/>
              </w:rPr>
              <w:t>Unrealized</w:t>
            </w:r>
          </w:p>
        </w:tc>
        <w:tc>
          <w:tcPr>
            <w:tcW w:w="92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85"/>
              </w:rPr>
              <w:t>Positions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jc w:val="right"/>
              <w:ind w:right="200"/>
              <w:spacing w:after="0" w:line="157" w:lineRule="exact"/>
              <w:rPr>
                <w:sz w:val="20"/>
                <w:szCs w:val="20"/>
                <w:color w:val="auto"/>
              </w:rPr>
            </w:pPr>
            <w:r>
              <w:rPr>
                <w:rFonts w:ascii="Arial" w:cs="Arial" w:eastAsia="Arial" w:hAnsi="Arial"/>
                <w:sz w:val="14"/>
                <w:szCs w:val="14"/>
                <w:b w:val="1"/>
                <w:bCs w:val="1"/>
                <w:color w:val="auto"/>
                <w:w w:val="95"/>
              </w:rPr>
              <w:t>Unrealized</w:t>
            </w:r>
          </w:p>
        </w:tc>
      </w:tr>
      <w:tr>
        <w:trPr>
          <w:trHeight w:val="176"/>
        </w:trPr>
        <w:tc>
          <w:tcPr>
            <w:tcW w:w="2260" w:type="dxa"/>
            <w:vAlign w:val="bottom"/>
          </w:tcPr>
          <w:p>
            <w:pPr>
              <w:ind w:left="40"/>
              <w:spacing w:after="0"/>
              <w:rPr>
                <w:sz w:val="20"/>
                <w:szCs w:val="20"/>
                <w:color w:val="auto"/>
              </w:rPr>
            </w:pPr>
            <w:r>
              <w:rPr>
                <w:rFonts w:ascii="Arial" w:cs="Arial" w:eastAsia="Arial" w:hAnsi="Arial"/>
                <w:sz w:val="14"/>
                <w:szCs w:val="14"/>
                <w:b w:val="1"/>
                <w:bCs w:val="1"/>
                <w:color w:val="auto"/>
              </w:rPr>
              <w:t>Categor</w:t>
            </w:r>
            <w:r>
              <w:rPr>
                <w:rFonts w:ascii="Arial" w:cs="Arial" w:eastAsia="Arial" w:hAnsi="Arial"/>
                <w:sz w:val="14"/>
                <w:szCs w:val="14"/>
                <w:color w:val="auto"/>
              </w:rPr>
              <w:t>y</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Losses</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Held</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1"/>
              <w:spacing w:after="0"/>
              <w:rPr>
                <w:sz w:val="20"/>
                <w:szCs w:val="20"/>
                <w:color w:val="auto"/>
              </w:rPr>
            </w:pPr>
            <w:r>
              <w:rPr>
                <w:rFonts w:ascii="Arial" w:cs="Arial" w:eastAsia="Arial" w:hAnsi="Arial"/>
                <w:sz w:val="14"/>
                <w:szCs w:val="14"/>
                <w:b w:val="1"/>
                <w:bCs w:val="1"/>
                <w:color w:val="auto"/>
                <w:w w:val="96"/>
              </w:rPr>
              <w:t>Value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Losses</w:t>
            </w: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Held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Losses</w:t>
            </w:r>
          </w:p>
        </w:tc>
      </w:tr>
      <w:tr>
        <w:trPr>
          <w:trHeight w:val="468"/>
        </w:trPr>
        <w:tc>
          <w:tcPr>
            <w:tcW w:w="226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Fixed-Maturity Securities: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5"/>
        </w:trPr>
        <w:tc>
          <w:tcPr>
            <w:tcW w:w="2260" w:type="dxa"/>
            <w:vAlign w:val="bottom"/>
          </w:tcPr>
          <w:p>
            <w:pPr>
              <w:ind w:left="40"/>
              <w:spacing w:after="0"/>
              <w:rPr>
                <w:sz w:val="20"/>
                <w:szCs w:val="20"/>
                <w:color w:val="auto"/>
              </w:rPr>
            </w:pPr>
            <w:r>
              <w:rPr>
                <w:rFonts w:ascii="Arial" w:cs="Arial" w:eastAsia="Arial" w:hAnsi="Arial"/>
                <w:sz w:val="17"/>
                <w:szCs w:val="17"/>
                <w:color w:val="auto"/>
              </w:rPr>
              <w:t>U.S. Treasury securities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5"/>
        </w:trPr>
        <w:tc>
          <w:tcPr>
            <w:tcW w:w="2260" w:type="dxa"/>
            <w:vAlign w:val="bottom"/>
          </w:tcPr>
          <w:p>
            <w:pPr>
              <w:ind w:left="40"/>
              <w:spacing w:after="0"/>
              <w:rPr>
                <w:sz w:val="20"/>
                <w:szCs w:val="20"/>
                <w:color w:val="auto"/>
              </w:rPr>
            </w:pPr>
            <w:r>
              <w:rPr>
                <w:rFonts w:ascii="Arial" w:cs="Arial" w:eastAsia="Arial" w:hAnsi="Arial"/>
                <w:sz w:val="17"/>
                <w:szCs w:val="17"/>
                <w:color w:val="auto"/>
              </w:rPr>
              <w:t>and obligations of U.S.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6"/>
        </w:trPr>
        <w:tc>
          <w:tcPr>
            <w:tcW w:w="2260" w:type="dxa"/>
            <w:vAlign w:val="bottom"/>
          </w:tcPr>
          <w:p>
            <w:pPr>
              <w:ind w:left="40"/>
              <w:spacing w:after="0"/>
              <w:rPr>
                <w:sz w:val="20"/>
                <w:szCs w:val="20"/>
                <w:color w:val="auto"/>
              </w:rPr>
            </w:pPr>
            <w:r>
              <w:rPr>
                <w:rFonts w:ascii="Arial" w:cs="Arial" w:eastAsia="Arial" w:hAnsi="Arial"/>
                <w:sz w:val="17"/>
                <w:szCs w:val="17"/>
                <w:color w:val="auto"/>
              </w:rPr>
              <w:t>government corporations</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260" w:type="dxa"/>
            <w:vAlign w:val="bottom"/>
            <w:shd w:val="clear" w:color="auto" w:fill="CCEEFF"/>
          </w:tcPr>
          <w:p>
            <w:pPr>
              <w:ind w:left="40"/>
              <w:spacing w:after="0"/>
              <w:rPr>
                <w:sz w:val="20"/>
                <w:szCs w:val="20"/>
                <w:color w:val="auto"/>
              </w:rPr>
            </w:pPr>
            <w:r>
              <w:rPr>
                <w:rFonts w:ascii="Arial" w:cs="Arial" w:eastAsia="Arial" w:hAnsi="Arial"/>
                <w:sz w:val="17"/>
                <w:szCs w:val="17"/>
                <w:color w:val="auto"/>
              </w:rPr>
              <w:t>and agencies</w:t>
            </w:r>
          </w:p>
        </w:tc>
        <w:tc>
          <w:tcPr>
            <w:tcW w:w="2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r>
      <w:tr>
        <w:trPr>
          <w:trHeight w:val="209"/>
        </w:trPr>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226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Political subdivisions of</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2260" w:type="dxa"/>
            <w:vAlign w:val="bottom"/>
          </w:tcPr>
          <w:p>
            <w:pPr>
              <w:ind w:left="40"/>
              <w:spacing w:after="0"/>
              <w:rPr>
                <w:sz w:val="20"/>
                <w:szCs w:val="20"/>
                <w:color w:val="auto"/>
              </w:rPr>
            </w:pPr>
            <w:r>
              <w:rPr>
                <w:rFonts w:ascii="Arial" w:cs="Arial" w:eastAsia="Arial" w:hAnsi="Arial"/>
                <w:sz w:val="17"/>
                <w:szCs w:val="17"/>
                <w:color w:val="auto"/>
              </w:rPr>
              <w:t>States, Territories and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226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Possessions</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3,067,428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(11,316)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3,067,428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(11,316)</w:t>
            </w:r>
          </w:p>
        </w:tc>
      </w:tr>
      <w:tr>
        <w:trPr>
          <w:trHeight w:val="209"/>
        </w:trPr>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226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Corporate and other</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2260" w:type="dxa"/>
            <w:vAlign w:val="bottom"/>
          </w:tcPr>
          <w:p>
            <w:pPr>
              <w:ind w:left="40"/>
              <w:spacing w:after="0"/>
              <w:rPr>
                <w:sz w:val="20"/>
                <w:szCs w:val="20"/>
                <w:color w:val="auto"/>
              </w:rPr>
            </w:pPr>
            <w:r>
              <w:rPr>
                <w:rFonts w:ascii="Arial" w:cs="Arial" w:eastAsia="Arial" w:hAnsi="Arial"/>
                <w:sz w:val="17"/>
                <w:szCs w:val="17"/>
                <w:color w:val="auto"/>
              </w:rPr>
              <w:t>bonds industrial and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2260" w:type="dxa"/>
            <w:vAlign w:val="bottom"/>
            <w:shd w:val="clear" w:color="auto" w:fill="CCEEFF"/>
          </w:tcPr>
          <w:p>
            <w:pPr>
              <w:ind w:left="40"/>
              <w:spacing w:after="0"/>
              <w:rPr>
                <w:sz w:val="20"/>
                <w:szCs w:val="20"/>
                <w:color w:val="auto"/>
              </w:rPr>
            </w:pPr>
            <w:r>
              <w:rPr>
                <w:rFonts w:ascii="Arial" w:cs="Arial" w:eastAsia="Arial" w:hAnsi="Arial"/>
                <w:sz w:val="17"/>
                <w:szCs w:val="17"/>
                <w:color w:val="auto"/>
              </w:rPr>
              <w:t>miscellaneous</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3,730,478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(16,685)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1,300,915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(13,473)</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5,031,393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(30,158)</w:t>
            </w:r>
          </w:p>
        </w:tc>
      </w:tr>
      <w:tr>
        <w:trPr>
          <w:trHeight w:val="209"/>
        </w:trPr>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2260" w:type="dxa"/>
            <w:vAlign w:val="bottom"/>
            <w:shd w:val="clear" w:color="auto" w:fill="CCEEFF"/>
          </w:tcPr>
          <w:p>
            <w:pPr>
              <w:ind w:left="40"/>
              <w:spacing w:after="0"/>
              <w:rPr>
                <w:sz w:val="20"/>
                <w:szCs w:val="20"/>
                <w:color w:val="auto"/>
              </w:rPr>
            </w:pPr>
            <w:r>
              <w:rPr>
                <w:rFonts w:ascii="Arial" w:cs="Arial" w:eastAsia="Arial" w:hAnsi="Arial"/>
                <w:sz w:val="17"/>
                <w:szCs w:val="17"/>
                <w:color w:val="auto"/>
                <w:w w:val="92"/>
              </w:rPr>
              <w:t>Residential mortgage and other</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2260" w:type="dxa"/>
            <w:vAlign w:val="bottom"/>
          </w:tcPr>
          <w:p>
            <w:pPr>
              <w:ind w:left="40"/>
              <w:spacing w:after="0"/>
              <w:rPr>
                <w:sz w:val="20"/>
                <w:szCs w:val="20"/>
                <w:color w:val="auto"/>
              </w:rPr>
            </w:pPr>
            <w:r>
              <w:rPr>
                <w:rFonts w:ascii="Arial" w:cs="Arial" w:eastAsia="Arial" w:hAnsi="Arial"/>
                <w:sz w:val="17"/>
                <w:szCs w:val="17"/>
                <w:color w:val="auto"/>
              </w:rPr>
              <w:t>asset backed securities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5,862,636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(68,793)</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w w:val="91"/>
              </w:rPr>
              <w:t>13,534,768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(276,451)</w:t>
            </w:r>
          </w:p>
        </w:tc>
        <w:tc>
          <w:tcPr>
            <w:tcW w:w="920" w:type="dxa"/>
            <w:vAlign w:val="bottom"/>
            <w:gridSpan w:val="2"/>
          </w:tcPr>
          <w:p>
            <w:pPr>
              <w:jc w:val="right"/>
              <w:ind w:right="20"/>
              <w:spacing w:after="0"/>
              <w:rPr>
                <w:sz w:val="20"/>
                <w:szCs w:val="20"/>
                <w:color w:val="auto"/>
              </w:rPr>
            </w:pPr>
            <w:r>
              <w:rPr>
                <w:rFonts w:ascii="Arial" w:cs="Arial" w:eastAsia="Arial" w:hAnsi="Arial"/>
                <w:sz w:val="17"/>
                <w:szCs w:val="17"/>
                <w:color w:val="auto"/>
              </w:rPr>
              <w:t>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w w:val="89"/>
              </w:rPr>
              <w:t>19,397,404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7"/>
                <w:szCs w:val="17"/>
                <w:color w:val="auto"/>
              </w:rPr>
              <w:t>(345,244)</w:t>
            </w:r>
          </w:p>
        </w:tc>
      </w:tr>
      <w:tr>
        <w:trPr>
          <w:trHeight w:val="209"/>
        </w:trPr>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2260" w:type="dxa"/>
            <w:vAlign w:val="bottom"/>
          </w:tcPr>
          <w:p>
            <w:pPr>
              <w:ind w:left="40"/>
              <w:spacing w:after="0"/>
              <w:rPr>
                <w:sz w:val="20"/>
                <w:szCs w:val="20"/>
                <w:color w:val="auto"/>
              </w:rPr>
            </w:pPr>
            <w:r>
              <w:rPr>
                <w:rFonts w:ascii="Arial" w:cs="Arial" w:eastAsia="Arial" w:hAnsi="Arial"/>
                <w:sz w:val="17"/>
                <w:szCs w:val="17"/>
                <w:color w:val="auto"/>
              </w:rPr>
              <w:t>Total fixed-maturity</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2260" w:type="dxa"/>
            <w:vAlign w:val="bottom"/>
            <w:shd w:val="clear" w:color="auto" w:fill="CCEEFF"/>
          </w:tcPr>
          <w:p>
            <w:pPr>
              <w:ind w:left="40"/>
              <w:spacing w:after="0"/>
              <w:rPr>
                <w:sz w:val="20"/>
                <w:szCs w:val="20"/>
                <w:color w:val="auto"/>
              </w:rPr>
            </w:pPr>
            <w:r>
              <w:rPr>
                <w:rFonts w:ascii="Arial" w:cs="Arial" w:eastAsia="Arial" w:hAnsi="Arial"/>
                <w:sz w:val="17"/>
                <w:szCs w:val="17"/>
                <w:color w:val="auto"/>
              </w:rPr>
              <w:t>securities</w:t>
            </w:r>
          </w:p>
        </w:tc>
        <w:tc>
          <w:tcPr>
            <w:tcW w:w="22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9"/>
              </w:rPr>
              <w:t>12,660,542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(96,794)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14,835,683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(289,924)</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9"/>
              </w:rPr>
              <w:t>27,496,225</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84"/>
              </w:rPr>
              <w:t>$</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(386,718)</w:t>
            </w:r>
          </w:p>
        </w:tc>
      </w:tr>
      <w:tr>
        <w:trPr>
          <w:trHeight w:val="618"/>
        </w:trPr>
        <w:tc>
          <w:tcPr>
            <w:tcW w:w="22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7"/>
                <w:szCs w:val="17"/>
                <w:color w:val="auto"/>
                <w:w w:val="84"/>
              </w:rPr>
              <w:t>14</w:t>
            </w:r>
          </w:p>
        </w:tc>
        <w:tc>
          <w:tcPr>
            <w:tcW w:w="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49" w:right="339" w:bottom="1440"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t>Note 4 - Fair Value Measurements</w:t>
      </w:r>
    </w:p>
    <w:p>
      <w:pPr>
        <w:spacing w:after="0" w:line="227" w:lineRule="exact"/>
        <w:rPr>
          <w:sz w:val="20"/>
          <w:szCs w:val="20"/>
          <w:color w:val="auto"/>
        </w:rPr>
      </w:pPr>
    </w:p>
    <w:p>
      <w:pPr>
        <w:spacing w:after="0" w:line="281" w:lineRule="auto"/>
        <w:rPr>
          <w:sz w:val="20"/>
          <w:szCs w:val="20"/>
          <w:color w:val="auto"/>
        </w:rPr>
      </w:pPr>
      <w:r>
        <w:rPr>
          <w:rFonts w:ascii="Arial" w:cs="Arial" w:eastAsia="Arial" w:hAnsi="Arial"/>
          <w:sz w:val="17"/>
          <w:szCs w:val="17"/>
          <w:color w:val="auto"/>
        </w:rPr>
        <w:t>The following table presents information about the Company’s investments that are measured at fair value on a recurring basis at March 31, 2020 and December 31, 2019 indicating the fair value hierarchy of the valuation inputs the Company utilized to determine such fair value: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3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217"/>
              <w:spacing w:after="0"/>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218"/>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3"/>
        </w:trPr>
        <w:tc>
          <w:tcPr>
            <w:tcW w:w="4360" w:type="dxa"/>
            <w:vAlign w:val="bottom"/>
          </w:tcPr>
          <w:p>
            <w:pPr>
              <w:ind w:left="40"/>
              <w:spacing w:after="0"/>
              <w:rPr>
                <w:sz w:val="20"/>
                <w:szCs w:val="20"/>
                <w:color w:val="auto"/>
              </w:rPr>
            </w:pPr>
            <w:r>
              <w:rPr>
                <w:rFonts w:ascii="Arial" w:cs="Arial" w:eastAsia="Arial" w:hAnsi="Arial"/>
                <w:sz w:val="17"/>
                <w:szCs w:val="17"/>
                <w:b w:val="1"/>
                <w:bCs w:val="1"/>
                <w:color w:val="auto"/>
              </w:rPr>
              <w:t>Fixed-maturity securities available-for-sale</w:t>
            </w: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360" w:type="dxa"/>
            <w:vAlign w:val="bottom"/>
          </w:tcPr>
          <w:p>
            <w:pPr>
              <w:ind w:left="40"/>
              <w:spacing w:after="0"/>
              <w:rPr>
                <w:sz w:val="20"/>
                <w:szCs w:val="20"/>
                <w:color w:val="auto"/>
              </w:rPr>
            </w:pPr>
            <w:r>
              <w:rPr>
                <w:rFonts w:ascii="Arial" w:cs="Arial" w:eastAsia="Arial" w:hAnsi="Arial"/>
                <w:sz w:val="17"/>
                <w:szCs w:val="17"/>
                <w:color w:val="auto"/>
              </w:rPr>
              <w:t>U.S. Treasury securities</w:t>
            </w: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360" w:type="dxa"/>
            <w:vAlign w:val="bottom"/>
          </w:tcPr>
          <w:p>
            <w:pPr>
              <w:ind w:left="40"/>
              <w:spacing w:after="0"/>
              <w:rPr>
                <w:sz w:val="20"/>
                <w:szCs w:val="20"/>
                <w:color w:val="auto"/>
              </w:rPr>
            </w:pPr>
            <w:r>
              <w:rPr>
                <w:rFonts w:ascii="Arial" w:cs="Arial" w:eastAsia="Arial" w:hAnsi="Arial"/>
                <w:sz w:val="17"/>
                <w:szCs w:val="17"/>
                <w:color w:val="auto"/>
              </w:rPr>
              <w:t>and obligations of U.S.</w:t>
            </w: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360" w:type="dxa"/>
            <w:vAlign w:val="bottom"/>
          </w:tcPr>
          <w:p>
            <w:pPr>
              <w:ind w:left="40"/>
              <w:spacing w:after="0"/>
              <w:rPr>
                <w:sz w:val="20"/>
                <w:szCs w:val="20"/>
                <w:color w:val="auto"/>
              </w:rPr>
            </w:pPr>
            <w:r>
              <w:rPr>
                <w:rFonts w:ascii="Arial" w:cs="Arial" w:eastAsia="Arial" w:hAnsi="Arial"/>
                <w:sz w:val="17"/>
                <w:szCs w:val="17"/>
                <w:color w:val="auto"/>
              </w:rPr>
              <w:t>government corporations</w:t>
            </w: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ind w:left="40"/>
              <w:spacing w:after="0"/>
              <w:rPr>
                <w:sz w:val="20"/>
                <w:szCs w:val="20"/>
                <w:color w:val="auto"/>
              </w:rPr>
            </w:pPr>
            <w:r>
              <w:rPr>
                <w:rFonts w:ascii="Arial" w:cs="Arial" w:eastAsia="Arial" w:hAnsi="Arial"/>
                <w:sz w:val="17"/>
                <w:szCs w:val="17"/>
                <w:color w:val="auto"/>
              </w:rPr>
              <w:t>and agencies</w:t>
            </w:r>
          </w:p>
        </w:tc>
        <w:tc>
          <w:tcPr>
            <w:tcW w:w="1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5,136,240</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728"/>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5,136,240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Political subdivisions of</w:t>
            </w:r>
          </w:p>
        </w:tc>
        <w:tc>
          <w:tcPr>
            <w:tcW w:w="1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tcPr>
          <w:p>
            <w:pPr>
              <w:ind w:left="40"/>
              <w:spacing w:after="0"/>
              <w:rPr>
                <w:sz w:val="20"/>
                <w:szCs w:val="20"/>
                <w:color w:val="auto"/>
              </w:rPr>
            </w:pPr>
            <w:r>
              <w:rPr>
                <w:rFonts w:ascii="Arial" w:cs="Arial" w:eastAsia="Arial" w:hAnsi="Arial"/>
                <w:sz w:val="17"/>
                <w:szCs w:val="17"/>
                <w:color w:val="auto"/>
              </w:rPr>
              <w:t>States, Territories and</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Possessions</w:t>
            </w:r>
          </w:p>
        </w:tc>
        <w:tc>
          <w:tcPr>
            <w:tcW w:w="1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9,414,959</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9,414,959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Corporate and other</w:t>
            </w:r>
          </w:p>
        </w:tc>
        <w:tc>
          <w:tcPr>
            <w:tcW w:w="1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tcPr>
          <w:p>
            <w:pPr>
              <w:ind w:left="40"/>
              <w:spacing w:after="0"/>
              <w:rPr>
                <w:sz w:val="20"/>
                <w:szCs w:val="20"/>
                <w:color w:val="auto"/>
              </w:rPr>
            </w:pPr>
            <w:r>
              <w:rPr>
                <w:rFonts w:ascii="Arial" w:cs="Arial" w:eastAsia="Arial" w:hAnsi="Arial"/>
                <w:sz w:val="17"/>
                <w:szCs w:val="17"/>
                <w:color w:val="auto"/>
              </w:rPr>
              <w:t>bonds industrial and</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shd w:val="clear" w:color="auto" w:fill="CCEEFF"/>
          </w:tcPr>
          <w:p>
            <w:pPr>
              <w:ind w:left="40"/>
              <w:spacing w:after="0"/>
              <w:rPr>
                <w:sz w:val="20"/>
                <w:szCs w:val="20"/>
                <w:color w:val="auto"/>
              </w:rPr>
            </w:pPr>
            <w:r>
              <w:rPr>
                <w:rFonts w:ascii="Arial" w:cs="Arial" w:eastAsia="Arial" w:hAnsi="Arial"/>
                <w:sz w:val="17"/>
                <w:szCs w:val="17"/>
                <w:color w:val="auto"/>
              </w:rPr>
              <w:t>miscellaneous</w:t>
            </w:r>
          </w:p>
        </w:tc>
        <w:tc>
          <w:tcPr>
            <w:tcW w:w="1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111,099,020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2,390,602</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113,489,622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Residential mortgage backed securities</w:t>
            </w:r>
          </w:p>
        </w:tc>
        <w:tc>
          <w:tcPr>
            <w:tcW w:w="16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23,839,073</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23,839,073</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tcPr>
          <w:p>
            <w:pPr>
              <w:ind w:left="40"/>
              <w:spacing w:after="0"/>
              <w:rPr>
                <w:sz w:val="20"/>
                <w:szCs w:val="20"/>
                <w:color w:val="auto"/>
              </w:rPr>
            </w:pPr>
            <w:r>
              <w:rPr>
                <w:rFonts w:ascii="Arial" w:cs="Arial" w:eastAsia="Arial" w:hAnsi="Arial"/>
                <w:sz w:val="17"/>
                <w:szCs w:val="17"/>
                <w:color w:val="auto"/>
              </w:rPr>
              <w:t>Total fixed maturities</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w w:val="97"/>
              </w:rPr>
              <w:t>116,235,260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35,644,634</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w w:val="95"/>
              </w:rPr>
              <w:t>151,879,894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Equity securities</w:t>
            </w:r>
          </w:p>
        </w:tc>
        <w:tc>
          <w:tcPr>
            <w:tcW w:w="16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18,368,893</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18,368,893</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tcPr>
          <w:p>
            <w:pPr>
              <w:ind w:left="40"/>
              <w:spacing w:after="0"/>
              <w:rPr>
                <w:sz w:val="20"/>
                <w:szCs w:val="20"/>
                <w:color w:val="auto"/>
              </w:rPr>
            </w:pPr>
            <w:r>
              <w:rPr>
                <w:rFonts w:ascii="Arial" w:cs="Arial" w:eastAsia="Arial" w:hAnsi="Arial"/>
                <w:sz w:val="17"/>
                <w:szCs w:val="17"/>
                <w:color w:val="auto"/>
              </w:rPr>
              <w:t>Total investments</w:t>
            </w:r>
          </w:p>
        </w:tc>
        <w:tc>
          <w:tcPr>
            <w:tcW w:w="1620" w:type="dxa"/>
            <w:vAlign w:val="bottom"/>
            <w:gridSpan w:val="2"/>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w w:val="97"/>
              </w:rPr>
              <w:t>134,604,153</w:t>
            </w:r>
          </w:p>
        </w:tc>
        <w:tc>
          <w:tcPr>
            <w:tcW w:w="4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35,644,634</w:t>
            </w:r>
          </w:p>
        </w:tc>
        <w:tc>
          <w:tcPr>
            <w:tcW w:w="1160" w:type="dxa"/>
            <w:vAlign w:val="bottom"/>
            <w:gridSpan w:val="2"/>
          </w:tcPr>
          <w:p>
            <w:pPr>
              <w:jc w:val="right"/>
              <w:ind w:right="728"/>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w w:val="95"/>
              </w:rPr>
              <w:t>170,248,787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4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3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ind w:right="217"/>
              <w:spacing w:after="0" w:line="157" w:lineRule="exact"/>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ind w:right="218"/>
              <w:spacing w:after="0" w:line="157" w:lineRule="exact"/>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4"/>
                <w:szCs w:val="14"/>
                <w:color w:val="auto"/>
              </w:rPr>
            </w:pPr>
          </w:p>
        </w:tc>
        <w:tc>
          <w:tcPr>
            <w:tcW w:w="900" w:type="dxa"/>
            <w:vAlign w:val="bottom"/>
          </w:tcPr>
          <w:p>
            <w:pPr>
              <w:jc w:val="right"/>
              <w:ind w:right="48"/>
              <w:spacing w:after="0" w:line="157" w:lineRule="exact"/>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ind w:left="240"/>
              <w:spacing w:after="0" w:line="157"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4360" w:type="dxa"/>
            <w:vAlign w:val="bottom"/>
          </w:tcPr>
          <w:p>
            <w:pPr>
              <w:ind w:left="40"/>
              <w:spacing w:after="0"/>
              <w:rPr>
                <w:sz w:val="20"/>
                <w:szCs w:val="20"/>
                <w:color w:val="auto"/>
              </w:rPr>
            </w:pPr>
            <w:r>
              <w:rPr>
                <w:rFonts w:ascii="Arial" w:cs="Arial" w:eastAsia="Arial" w:hAnsi="Arial"/>
                <w:sz w:val="17"/>
                <w:szCs w:val="17"/>
                <w:b w:val="1"/>
                <w:bCs w:val="1"/>
                <w:color w:val="auto"/>
              </w:rPr>
              <w:t>Fixed-maturity securities available-for-sale</w:t>
            </w: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360" w:type="dxa"/>
            <w:vAlign w:val="bottom"/>
          </w:tcPr>
          <w:p>
            <w:pPr>
              <w:ind w:left="40"/>
              <w:spacing w:after="0"/>
              <w:rPr>
                <w:sz w:val="20"/>
                <w:szCs w:val="20"/>
                <w:color w:val="auto"/>
              </w:rPr>
            </w:pPr>
            <w:r>
              <w:rPr>
                <w:rFonts w:ascii="Arial" w:cs="Arial" w:eastAsia="Arial" w:hAnsi="Arial"/>
                <w:sz w:val="17"/>
                <w:szCs w:val="17"/>
                <w:color w:val="auto"/>
              </w:rPr>
              <w:t>U.S. Treasury securities</w:t>
            </w: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360" w:type="dxa"/>
            <w:vAlign w:val="bottom"/>
          </w:tcPr>
          <w:p>
            <w:pPr>
              <w:ind w:left="40"/>
              <w:spacing w:after="0"/>
              <w:rPr>
                <w:sz w:val="20"/>
                <w:szCs w:val="20"/>
                <w:color w:val="auto"/>
              </w:rPr>
            </w:pPr>
            <w:r>
              <w:rPr>
                <w:rFonts w:ascii="Arial" w:cs="Arial" w:eastAsia="Arial" w:hAnsi="Arial"/>
                <w:sz w:val="17"/>
                <w:szCs w:val="17"/>
                <w:color w:val="auto"/>
              </w:rPr>
              <w:t>and obligations of U.S.</w:t>
            </w: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360" w:type="dxa"/>
            <w:vAlign w:val="bottom"/>
          </w:tcPr>
          <w:p>
            <w:pPr>
              <w:ind w:left="40"/>
              <w:spacing w:after="0"/>
              <w:rPr>
                <w:sz w:val="20"/>
                <w:szCs w:val="20"/>
                <w:color w:val="auto"/>
              </w:rPr>
            </w:pPr>
            <w:r>
              <w:rPr>
                <w:rFonts w:ascii="Arial" w:cs="Arial" w:eastAsia="Arial" w:hAnsi="Arial"/>
                <w:sz w:val="17"/>
                <w:szCs w:val="17"/>
                <w:color w:val="auto"/>
              </w:rPr>
              <w:t>government corporations</w:t>
            </w: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ind w:left="40"/>
              <w:spacing w:after="0"/>
              <w:rPr>
                <w:sz w:val="20"/>
                <w:szCs w:val="20"/>
                <w:color w:val="auto"/>
              </w:rPr>
            </w:pPr>
            <w:r>
              <w:rPr>
                <w:rFonts w:ascii="Arial" w:cs="Arial" w:eastAsia="Arial" w:hAnsi="Arial"/>
                <w:sz w:val="17"/>
                <w:szCs w:val="17"/>
                <w:color w:val="auto"/>
              </w:rPr>
              <w:t>and agencies</w:t>
            </w:r>
          </w:p>
        </w:tc>
        <w:tc>
          <w:tcPr>
            <w:tcW w:w="1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7,061,100</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728"/>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7,061,100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Political subdivisions of</w:t>
            </w:r>
          </w:p>
        </w:tc>
        <w:tc>
          <w:tcPr>
            <w:tcW w:w="1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tcPr>
          <w:p>
            <w:pPr>
              <w:ind w:left="40"/>
              <w:spacing w:after="0"/>
              <w:rPr>
                <w:sz w:val="20"/>
                <w:szCs w:val="20"/>
                <w:color w:val="auto"/>
              </w:rPr>
            </w:pPr>
            <w:r>
              <w:rPr>
                <w:rFonts w:ascii="Arial" w:cs="Arial" w:eastAsia="Arial" w:hAnsi="Arial"/>
                <w:sz w:val="17"/>
                <w:szCs w:val="17"/>
                <w:color w:val="auto"/>
              </w:rPr>
              <w:t>States, Territories and</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Possessions</w:t>
            </w:r>
          </w:p>
        </w:tc>
        <w:tc>
          <w:tcPr>
            <w:tcW w:w="1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9,321,812</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9,321,812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Corporate and other</w:t>
            </w:r>
          </w:p>
        </w:tc>
        <w:tc>
          <w:tcPr>
            <w:tcW w:w="1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tcPr>
          <w:p>
            <w:pPr>
              <w:ind w:left="40"/>
              <w:spacing w:after="0"/>
              <w:rPr>
                <w:sz w:val="20"/>
                <w:szCs w:val="20"/>
                <w:color w:val="auto"/>
              </w:rPr>
            </w:pPr>
            <w:r>
              <w:rPr>
                <w:rFonts w:ascii="Arial" w:cs="Arial" w:eastAsia="Arial" w:hAnsi="Arial"/>
                <w:sz w:val="17"/>
                <w:szCs w:val="17"/>
                <w:color w:val="auto"/>
              </w:rPr>
              <w:t>bonds industrial and</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shd w:val="clear" w:color="auto" w:fill="CCEEFF"/>
          </w:tcPr>
          <w:p>
            <w:pPr>
              <w:ind w:left="40"/>
              <w:spacing w:after="0"/>
              <w:rPr>
                <w:sz w:val="20"/>
                <w:szCs w:val="20"/>
                <w:color w:val="auto"/>
              </w:rPr>
            </w:pPr>
            <w:r>
              <w:rPr>
                <w:rFonts w:ascii="Arial" w:cs="Arial" w:eastAsia="Arial" w:hAnsi="Arial"/>
                <w:sz w:val="17"/>
                <w:szCs w:val="17"/>
                <w:color w:val="auto"/>
              </w:rPr>
              <w:t>miscellaneous</w:t>
            </w:r>
          </w:p>
        </w:tc>
        <w:tc>
          <w:tcPr>
            <w:tcW w:w="1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123,010,772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2,611,267</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125,622,039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Residential mortgage backed securities</w:t>
            </w:r>
          </w:p>
        </w:tc>
        <w:tc>
          <w:tcPr>
            <w:tcW w:w="16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26,231,230</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26,231,230</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tcPr>
          <w:p>
            <w:pPr>
              <w:ind w:left="40"/>
              <w:spacing w:after="0"/>
              <w:rPr>
                <w:sz w:val="20"/>
                <w:szCs w:val="20"/>
                <w:color w:val="auto"/>
              </w:rPr>
            </w:pPr>
            <w:r>
              <w:rPr>
                <w:rFonts w:ascii="Arial" w:cs="Arial" w:eastAsia="Arial" w:hAnsi="Arial"/>
                <w:sz w:val="17"/>
                <w:szCs w:val="17"/>
                <w:color w:val="auto"/>
              </w:rPr>
              <w:t>Total fixed maturities</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w w:val="97"/>
              </w:rPr>
              <w:t>130,071,872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38,164,309</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w w:val="95"/>
              </w:rPr>
              <w:t>168,236,181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Equity securities</w:t>
            </w:r>
          </w:p>
        </w:tc>
        <w:tc>
          <w:tcPr>
            <w:tcW w:w="16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24,661,382</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24,661,382</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tcPr>
          <w:p>
            <w:pPr>
              <w:ind w:left="40"/>
              <w:spacing w:after="0"/>
              <w:rPr>
                <w:sz w:val="20"/>
                <w:szCs w:val="20"/>
                <w:color w:val="auto"/>
              </w:rPr>
            </w:pPr>
            <w:r>
              <w:rPr>
                <w:rFonts w:ascii="Arial" w:cs="Arial" w:eastAsia="Arial" w:hAnsi="Arial"/>
                <w:sz w:val="17"/>
                <w:szCs w:val="17"/>
                <w:color w:val="auto"/>
              </w:rPr>
              <w:t>Total investments</w:t>
            </w:r>
          </w:p>
        </w:tc>
        <w:tc>
          <w:tcPr>
            <w:tcW w:w="17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w w:val="97"/>
              </w:rPr>
              <w:t>154,733,254</w:t>
            </w:r>
          </w:p>
        </w:tc>
        <w:tc>
          <w:tcPr>
            <w:tcW w:w="4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38,164,309</w:t>
            </w:r>
          </w:p>
        </w:tc>
        <w:tc>
          <w:tcPr>
            <w:tcW w:w="1160" w:type="dxa"/>
            <w:vAlign w:val="bottom"/>
            <w:gridSpan w:val="2"/>
          </w:tcPr>
          <w:p>
            <w:pPr>
              <w:jc w:val="right"/>
              <w:ind w:right="728"/>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w w:val="95"/>
              </w:rPr>
              <w:t>192,897,563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600" w:type="dxa"/>
            <w:vAlign w:val="bottom"/>
            <w:vMerge w:val="restart"/>
          </w:tcPr>
          <w:p>
            <w:pPr>
              <w:jc w:val="right"/>
              <w:ind w:right="175"/>
              <w:spacing w:after="0"/>
              <w:rPr>
                <w:sz w:val="20"/>
                <w:szCs w:val="20"/>
                <w:color w:val="auto"/>
              </w:rPr>
            </w:pPr>
            <w:r>
              <w:rPr>
                <w:rFonts w:ascii="Arial" w:cs="Arial" w:eastAsia="Arial" w:hAnsi="Arial"/>
                <w:sz w:val="17"/>
                <w:szCs w:val="17"/>
                <w:color w:val="auto"/>
              </w:rPr>
              <w:t>15</w:t>
            </w: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8"/>
        </w:trPr>
        <w:tc>
          <w:tcPr>
            <w:tcW w:w="43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5" w:right="339" w:bottom="1440" w:gutter="0" w:footer="0" w:header="0"/>
        </w:sectPr>
      </w:pPr>
    </w:p>
    <w:bookmarkStart w:id="17" w:name="page18"/>
    <w:bookmarkEnd w:id="17"/>
    <w:p>
      <w:pPr>
        <w:spacing w:after="0" w:line="313" w:lineRule="auto"/>
        <w:rPr>
          <w:sz w:val="20"/>
          <w:szCs w:val="20"/>
          <w:color w:val="auto"/>
        </w:rPr>
      </w:pPr>
      <w:r>
        <w:rPr>
          <w:rFonts w:ascii="Arial" w:cs="Arial" w:eastAsia="Arial" w:hAnsi="Arial"/>
          <w:sz w:val="16"/>
          <w:szCs w:val="16"/>
          <w:color w:val="auto"/>
        </w:rPr>
        <w:t>The following table sets forth the Company’s investment in a hedge fund measured at Net Asset Value (“NAV”) per share as of March 31, 2020 and December 31, 2019. The Company measures this investment at fair value on a recurring basis. Fair value using NAV per share is as follows as of the dates indicated: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vMerge w:val="restart"/>
          </w:tcPr>
          <w:p>
            <w:pPr>
              <w:spacing w:after="0"/>
              <w:rPr>
                <w:sz w:val="20"/>
                <w:szCs w:val="20"/>
                <w:color w:val="auto"/>
              </w:rPr>
            </w:pPr>
            <w:r>
              <w:rPr>
                <w:rFonts w:ascii="Arial" w:cs="Arial" w:eastAsia="Arial" w:hAnsi="Arial"/>
                <w:sz w:val="17"/>
                <w:szCs w:val="17"/>
                <w:b w:val="1"/>
                <w:bCs w:val="1"/>
                <w:color w:val="auto"/>
              </w:rPr>
              <w:t>Categor</w:t>
            </w:r>
            <w:r>
              <w:rPr>
                <w:rFonts w:ascii="Arial" w:cs="Arial" w:eastAsia="Arial" w:hAnsi="Arial"/>
                <w:sz w:val="17"/>
                <w:szCs w:val="17"/>
                <w:color w:val="auto"/>
              </w:rPr>
              <w:t>y</w:t>
            </w:r>
          </w:p>
        </w:tc>
        <w:tc>
          <w:tcPr>
            <w:tcW w:w="160" w:type="dxa"/>
            <w:vAlign w:val="bottom"/>
          </w:tcPr>
          <w:p>
            <w:pPr>
              <w:spacing w:after="0"/>
              <w:rPr>
                <w:sz w:val="14"/>
                <w:szCs w:val="14"/>
                <w:color w:val="auto"/>
              </w:rPr>
            </w:pPr>
          </w:p>
        </w:tc>
        <w:tc>
          <w:tcPr>
            <w:tcW w:w="920" w:type="dxa"/>
            <w:vAlign w:val="bottom"/>
          </w:tcPr>
          <w:p>
            <w:pPr>
              <w:ind w:left="8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6"/>
        </w:trPr>
        <w:tc>
          <w:tcPr>
            <w:tcW w:w="868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9"/>
        </w:trPr>
        <w:tc>
          <w:tcPr>
            <w:tcW w:w="8680" w:type="dxa"/>
            <w:vAlign w:val="bottom"/>
          </w:tcPr>
          <w:p>
            <w:pPr>
              <w:ind w:left="40"/>
              <w:spacing w:after="0"/>
              <w:rPr>
                <w:sz w:val="20"/>
                <w:szCs w:val="20"/>
                <w:color w:val="auto"/>
              </w:rPr>
            </w:pPr>
            <w:r>
              <w:rPr>
                <w:rFonts w:ascii="Arial" w:cs="Arial" w:eastAsia="Arial" w:hAnsi="Arial"/>
                <w:sz w:val="17"/>
                <w:szCs w:val="17"/>
                <w:b w:val="1"/>
                <w:bCs w:val="1"/>
                <w:color w:val="auto"/>
              </w:rPr>
              <w:t>Other Investments:</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Hedge fund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w w:val="87"/>
              </w:rPr>
              <w:t>1,987,522</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7"/>
                <w:szCs w:val="17"/>
                <w:color w:val="auto"/>
                <w:w w:val="89"/>
              </w:rPr>
              <w:t>2,584,913</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Pr>
          <w:p>
            <w:pPr>
              <w:ind w:left="40"/>
              <w:spacing w:after="0"/>
              <w:rPr>
                <w:sz w:val="20"/>
                <w:szCs w:val="20"/>
                <w:color w:val="auto"/>
              </w:rPr>
            </w:pPr>
            <w:r>
              <w:rPr>
                <w:rFonts w:ascii="Arial" w:cs="Arial" w:eastAsia="Arial" w:hAnsi="Arial"/>
                <w:sz w:val="17"/>
                <w:szCs w:val="17"/>
                <w:color w:val="auto"/>
              </w:rPr>
              <w:t>Total</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ind w:left="240"/>
              <w:spacing w:after="0"/>
              <w:rPr>
                <w:sz w:val="20"/>
                <w:szCs w:val="20"/>
                <w:color w:val="auto"/>
              </w:rPr>
            </w:pPr>
            <w:r>
              <w:rPr>
                <w:rFonts w:ascii="Arial" w:cs="Arial" w:eastAsia="Arial" w:hAnsi="Arial"/>
                <w:sz w:val="17"/>
                <w:szCs w:val="17"/>
                <w:color w:val="auto"/>
                <w:w w:val="87"/>
              </w:rPr>
              <w:t>1,987,522</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ind w:left="280"/>
              <w:spacing w:after="0"/>
              <w:rPr>
                <w:sz w:val="20"/>
                <w:szCs w:val="20"/>
                <w:color w:val="auto"/>
              </w:rPr>
            </w:pPr>
            <w:r>
              <w:rPr>
                <w:rFonts w:ascii="Arial" w:cs="Arial" w:eastAsia="Arial" w:hAnsi="Arial"/>
                <w:sz w:val="17"/>
                <w:szCs w:val="17"/>
                <w:color w:val="auto"/>
                <w:w w:val="89"/>
              </w:rPr>
              <w:t>2,584,913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investment is generally redeemable with at least 45 days prior written notice. The hedge fund investment is accounted for as a limited partnership by the Company. Income is earned based upon the Company’s allocated share of the partnership's changes in unrealized gains and losses to its partners. Such amounts have been recorded in the condensed consolidated statements of operations and comprehensive loss within net gains (losses) on investments.</w:t>
      </w:r>
    </w:p>
    <w:p>
      <w:pPr>
        <w:spacing w:after="0" w:line="16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estimated fair value and the level of the fair value hierarchy of the Company’s long-term debt as of March 31, 2020 and December 31, 2019 not measured at fair value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9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ind w:right="488"/>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5"/>
        </w:trPr>
        <w:tc>
          <w:tcPr>
            <w:tcW w:w="5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224"/>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ind w:left="180"/>
              <w:spacing w:after="0"/>
              <w:rPr>
                <w:sz w:val="20"/>
                <w:szCs w:val="20"/>
                <w:color w:val="auto"/>
              </w:rPr>
            </w:pPr>
            <w:r>
              <w:rPr>
                <w:rFonts w:ascii="Arial" w:cs="Arial" w:eastAsia="Arial" w:hAnsi="Arial"/>
                <w:sz w:val="14"/>
                <w:szCs w:val="14"/>
                <w:b w:val="1"/>
                <w:bCs w:val="1"/>
                <w:color w:val="auto"/>
              </w:rPr>
              <w:t>Total</w:t>
            </w:r>
          </w:p>
        </w:tc>
      </w:tr>
      <w:tr>
        <w:trPr>
          <w:trHeight w:val="233"/>
        </w:trPr>
        <w:tc>
          <w:tcPr>
            <w:tcW w:w="5960" w:type="dxa"/>
            <w:vAlign w:val="bottom"/>
          </w:tcPr>
          <w:p>
            <w:pPr>
              <w:ind w:left="40"/>
              <w:spacing w:after="0"/>
              <w:rPr>
                <w:sz w:val="20"/>
                <w:szCs w:val="20"/>
                <w:color w:val="auto"/>
              </w:rPr>
            </w:pPr>
            <w:r>
              <w:rPr>
                <w:rFonts w:ascii="Arial" w:cs="Arial" w:eastAsia="Arial" w:hAnsi="Arial"/>
                <w:sz w:val="17"/>
                <w:szCs w:val="17"/>
                <w:b w:val="1"/>
                <w:bCs w:val="1"/>
                <w:color w:val="auto"/>
              </w:rPr>
              <w:t>Long-term debt</w:t>
            </w:r>
          </w:p>
        </w:tc>
        <w:tc>
          <w:tcPr>
            <w:tcW w:w="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5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60" w:type="dxa"/>
            <w:vAlign w:val="bottom"/>
            <w:shd w:val="clear" w:color="auto" w:fill="CCEEFF"/>
          </w:tcPr>
          <w:p>
            <w:pPr>
              <w:ind w:left="40"/>
              <w:spacing w:after="0"/>
              <w:rPr>
                <w:sz w:val="20"/>
                <w:szCs w:val="20"/>
                <w:color w:val="auto"/>
              </w:rPr>
            </w:pPr>
            <w:r>
              <w:rPr>
                <w:rFonts w:ascii="Arial" w:cs="Arial" w:eastAsia="Arial" w:hAnsi="Arial"/>
                <w:sz w:val="17"/>
                <w:szCs w:val="17"/>
                <w:color w:val="auto"/>
              </w:rPr>
              <w:t>Senior Notes due 2022</w:t>
            </w:r>
          </w:p>
        </w:tc>
        <w:tc>
          <w:tcPr>
            <w:tcW w:w="940" w:type="dxa"/>
            <w:vAlign w:val="bottom"/>
            <w:gridSpan w:val="2"/>
            <w:shd w:val="clear" w:color="auto" w:fill="CCEEFF"/>
          </w:tcPr>
          <w:p>
            <w:pPr>
              <w:jc w:val="right"/>
              <w:ind w:right="748"/>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27,281,870</w:t>
            </w:r>
          </w:p>
        </w:tc>
        <w:tc>
          <w:tcPr>
            <w:tcW w:w="1160" w:type="dxa"/>
            <w:vAlign w:val="bottom"/>
            <w:gridSpan w:val="2"/>
            <w:shd w:val="clear" w:color="auto" w:fill="CCEEFF"/>
          </w:tcPr>
          <w:p>
            <w:pPr>
              <w:jc w:val="right"/>
              <w:ind w:right="728"/>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27,281,870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24"/>
        </w:trPr>
        <w:tc>
          <w:tcPr>
            <w:tcW w:w="59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5"/>
        </w:trPr>
        <w:tc>
          <w:tcPr>
            <w:tcW w:w="5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224"/>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8"/>
                <w:szCs w:val="18"/>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ind w:left="180"/>
              <w:spacing w:after="0"/>
              <w:rPr>
                <w:sz w:val="20"/>
                <w:szCs w:val="20"/>
                <w:color w:val="auto"/>
              </w:rPr>
            </w:pPr>
            <w:r>
              <w:rPr>
                <w:rFonts w:ascii="Arial" w:cs="Arial" w:eastAsia="Arial" w:hAnsi="Arial"/>
                <w:sz w:val="14"/>
                <w:szCs w:val="14"/>
                <w:b w:val="1"/>
                <w:bCs w:val="1"/>
                <w:color w:val="auto"/>
              </w:rPr>
              <w:t>Total</w:t>
            </w:r>
          </w:p>
        </w:tc>
      </w:tr>
      <w:tr>
        <w:trPr>
          <w:trHeight w:val="233"/>
        </w:trPr>
        <w:tc>
          <w:tcPr>
            <w:tcW w:w="5960" w:type="dxa"/>
            <w:vAlign w:val="bottom"/>
          </w:tcPr>
          <w:p>
            <w:pPr>
              <w:ind w:left="40"/>
              <w:spacing w:after="0"/>
              <w:rPr>
                <w:sz w:val="20"/>
                <w:szCs w:val="20"/>
                <w:color w:val="auto"/>
              </w:rPr>
            </w:pPr>
            <w:r>
              <w:rPr>
                <w:rFonts w:ascii="Arial" w:cs="Arial" w:eastAsia="Arial" w:hAnsi="Arial"/>
                <w:sz w:val="17"/>
                <w:szCs w:val="17"/>
                <w:b w:val="1"/>
                <w:bCs w:val="1"/>
                <w:color w:val="auto"/>
              </w:rPr>
              <w:t>Long-term debt</w:t>
            </w:r>
          </w:p>
        </w:tc>
        <w:tc>
          <w:tcPr>
            <w:tcW w:w="2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5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960" w:type="dxa"/>
            <w:vAlign w:val="bottom"/>
            <w:shd w:val="clear" w:color="auto" w:fill="CCEEFF"/>
          </w:tcPr>
          <w:p>
            <w:pPr>
              <w:ind w:left="40"/>
              <w:spacing w:after="0"/>
              <w:rPr>
                <w:sz w:val="20"/>
                <w:szCs w:val="20"/>
                <w:color w:val="auto"/>
              </w:rPr>
            </w:pPr>
            <w:r>
              <w:rPr>
                <w:rFonts w:ascii="Arial" w:cs="Arial" w:eastAsia="Arial" w:hAnsi="Arial"/>
                <w:sz w:val="17"/>
                <w:szCs w:val="17"/>
                <w:color w:val="auto"/>
              </w:rPr>
              <w:t>Senior Notes due 2022</w:t>
            </w:r>
          </w:p>
        </w:tc>
        <w:tc>
          <w:tcPr>
            <w:tcW w:w="940" w:type="dxa"/>
            <w:vAlign w:val="bottom"/>
            <w:gridSpan w:val="2"/>
            <w:shd w:val="clear" w:color="auto" w:fill="CCEEFF"/>
          </w:tcPr>
          <w:p>
            <w:pPr>
              <w:jc w:val="right"/>
              <w:ind w:right="748"/>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27,313,994</w:t>
            </w:r>
          </w:p>
        </w:tc>
        <w:tc>
          <w:tcPr>
            <w:tcW w:w="1160" w:type="dxa"/>
            <w:vAlign w:val="bottom"/>
            <w:gridSpan w:val="2"/>
            <w:shd w:val="clear" w:color="auto" w:fill="CCEEFF"/>
          </w:tcPr>
          <w:p>
            <w:pPr>
              <w:jc w:val="right"/>
              <w:ind w:right="728"/>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27,313,994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16"/>
        </w:trPr>
        <w:tc>
          <w:tcPr>
            <w:tcW w:w="5960" w:type="dxa"/>
            <w:vAlign w:val="bottom"/>
          </w:tcPr>
          <w:p>
            <w:pPr>
              <w:spacing w:after="0"/>
              <w:rPr>
                <w:sz w:val="20"/>
                <w:szCs w:val="20"/>
                <w:color w:val="auto"/>
              </w:rPr>
            </w:pPr>
            <w:r>
              <w:rPr>
                <w:rFonts w:ascii="Arial" w:cs="Arial" w:eastAsia="Arial" w:hAnsi="Arial"/>
                <w:sz w:val="17"/>
                <w:szCs w:val="17"/>
                <w:b w:val="1"/>
                <w:bCs w:val="1"/>
                <w:color w:val="auto"/>
              </w:rPr>
              <w:t>Note 5 - Fair Value of Financial Instruments and Real Estate</w:t>
            </w: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The estimated fair values of the Company’s financial instruments and real estate as of March 31, 2020 and December 31, 2019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3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60" w:type="dxa"/>
            <w:vAlign w:val="bottom"/>
            <w:gridSpan w:val="4"/>
          </w:tcPr>
          <w:p>
            <w:pPr>
              <w:jc w:val="right"/>
              <w:ind w:right="658"/>
              <w:spacing w:after="0"/>
              <w:rPr>
                <w:sz w:val="20"/>
                <w:szCs w:val="20"/>
                <w:color w:val="auto"/>
              </w:rPr>
            </w:pPr>
            <w:r>
              <w:rPr>
                <w:rFonts w:ascii="Arial" w:cs="Arial" w:eastAsia="Arial" w:hAnsi="Arial"/>
                <w:sz w:val="14"/>
                <w:szCs w:val="14"/>
                <w:b w:val="1"/>
                <w:bCs w:val="1"/>
                <w:color w:val="auto"/>
              </w:rPr>
              <w:t>March 31, 2020</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80" w:type="dxa"/>
            <w:vAlign w:val="bottom"/>
            <w:gridSpan w:val="5"/>
          </w:tcPr>
          <w:p>
            <w:pPr>
              <w:ind w:left="460"/>
              <w:spacing w:after="0"/>
              <w:rPr>
                <w:sz w:val="20"/>
                <w:szCs w:val="20"/>
                <w:color w:val="auto"/>
              </w:rPr>
            </w:pPr>
            <w:r>
              <w:rPr>
                <w:rFonts w:ascii="Arial" w:cs="Arial" w:eastAsia="Arial" w:hAnsi="Arial"/>
                <w:sz w:val="14"/>
                <w:szCs w:val="14"/>
                <w:b w:val="1"/>
                <w:bCs w:val="1"/>
                <w:color w:val="auto"/>
              </w:rPr>
              <w:t>December 31, 2019</w:t>
            </w:r>
          </w:p>
        </w:tc>
      </w:tr>
      <w:tr>
        <w:trPr>
          <w:trHeight w:val="143"/>
        </w:trPr>
        <w:tc>
          <w:tcPr>
            <w:tcW w:w="43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179"/>
              <w:spacing w:after="0" w:line="143" w:lineRule="exact"/>
              <w:rPr>
                <w:sz w:val="20"/>
                <w:szCs w:val="20"/>
                <w:color w:val="auto"/>
              </w:rPr>
            </w:pPr>
            <w:r>
              <w:rPr>
                <w:rFonts w:ascii="Arial" w:cs="Arial" w:eastAsia="Arial" w:hAnsi="Arial"/>
                <w:sz w:val="14"/>
                <w:szCs w:val="14"/>
                <w:b w:val="1"/>
                <w:bCs w:val="1"/>
                <w:color w:val="auto"/>
              </w:rPr>
              <w:t>Carrying</w:t>
            </w: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158"/>
              <w:spacing w:after="0" w:line="143" w:lineRule="exact"/>
              <w:rPr>
                <w:sz w:val="20"/>
                <w:szCs w:val="20"/>
                <w:color w:val="auto"/>
              </w:rPr>
            </w:pPr>
            <w:r>
              <w:rPr>
                <w:rFonts w:ascii="Arial" w:cs="Arial" w:eastAsia="Arial" w:hAnsi="Arial"/>
                <w:sz w:val="14"/>
                <w:szCs w:val="14"/>
                <w:b w:val="1"/>
                <w:bCs w:val="1"/>
                <w:color w:val="auto"/>
                <w:w w:val="98"/>
              </w:rPr>
              <w:t>Estimated</w:t>
            </w:r>
          </w:p>
        </w:tc>
        <w:tc>
          <w:tcPr>
            <w:tcW w:w="2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179"/>
              <w:spacing w:after="0" w:line="143" w:lineRule="exact"/>
              <w:rPr>
                <w:sz w:val="20"/>
                <w:szCs w:val="20"/>
                <w:color w:val="auto"/>
              </w:rPr>
            </w:pPr>
            <w:r>
              <w:rPr>
                <w:rFonts w:ascii="Arial" w:cs="Arial" w:eastAsia="Arial" w:hAnsi="Arial"/>
                <w:sz w:val="14"/>
                <w:szCs w:val="14"/>
                <w:b w:val="1"/>
                <w:bCs w:val="1"/>
                <w:color w:val="auto"/>
              </w:rPr>
              <w:t>Carrying</w:t>
            </w: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ind w:left="80"/>
              <w:spacing w:after="0" w:line="143" w:lineRule="exact"/>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2"/>
                <w:szCs w:val="12"/>
                <w:color w:val="auto"/>
              </w:rPr>
            </w:pPr>
          </w:p>
        </w:tc>
      </w:tr>
      <w:tr>
        <w:trPr>
          <w:trHeight w:val="176"/>
        </w:trPr>
        <w:tc>
          <w:tcPr>
            <w:tcW w:w="43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299"/>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138"/>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279"/>
              <w:spacing w:after="0"/>
              <w:rPr>
                <w:sz w:val="20"/>
                <w:szCs w:val="20"/>
                <w:color w:val="auto"/>
              </w:rPr>
            </w:pPr>
            <w:r>
              <w:rPr>
                <w:rFonts w:ascii="Arial" w:cs="Arial" w:eastAsia="Arial" w:hAnsi="Arial"/>
                <w:sz w:val="14"/>
                <w:szCs w:val="14"/>
                <w:b w:val="1"/>
                <w:bCs w:val="1"/>
                <w:color w:val="auto"/>
              </w:rPr>
              <w:t>Value</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r>
      <w:tr>
        <w:trPr>
          <w:trHeight w:val="235"/>
        </w:trPr>
        <w:tc>
          <w:tcPr>
            <w:tcW w:w="43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4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Fixed-maturity securities-held-to maturity</w:t>
            </w:r>
          </w:p>
        </w:tc>
        <w:tc>
          <w:tcPr>
            <w:tcW w:w="1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3,826,404</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4,136,710</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3,825,952</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4,124,767</w:t>
            </w:r>
          </w:p>
        </w:tc>
        <w:tc>
          <w:tcPr>
            <w:tcW w:w="120" w:type="dxa"/>
            <w:vAlign w:val="bottom"/>
            <w:shd w:val="clear" w:color="auto" w:fill="CCEEFF"/>
          </w:tcPr>
          <w:p>
            <w:pPr>
              <w:spacing w:after="0"/>
              <w:rPr>
                <w:sz w:val="18"/>
                <w:szCs w:val="18"/>
                <w:color w:val="auto"/>
              </w:rPr>
            </w:pPr>
          </w:p>
        </w:tc>
      </w:tr>
      <w:tr>
        <w:trPr>
          <w:trHeight w:val="209"/>
        </w:trPr>
        <w:tc>
          <w:tcPr>
            <w:tcW w:w="4300" w:type="dxa"/>
            <w:vAlign w:val="bottom"/>
          </w:tcPr>
          <w:p>
            <w:pPr>
              <w:ind w:left="40"/>
              <w:spacing w:after="0"/>
              <w:rPr>
                <w:sz w:val="20"/>
                <w:szCs w:val="20"/>
                <w:color w:val="auto"/>
              </w:rPr>
            </w:pPr>
            <w:r>
              <w:rPr>
                <w:rFonts w:ascii="Arial" w:cs="Arial" w:eastAsia="Arial" w:hAnsi="Arial"/>
                <w:sz w:val="17"/>
                <w:szCs w:val="17"/>
                <w:color w:val="auto"/>
              </w:rPr>
              <w:t>Cash and cash equivalents</w:t>
            </w:r>
          </w:p>
        </w:tc>
        <w:tc>
          <w:tcPr>
            <w:tcW w:w="18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25,586,789</w:t>
            </w:r>
          </w:p>
        </w:tc>
        <w:tc>
          <w:tcPr>
            <w:tcW w:w="4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25,586,789</w:t>
            </w:r>
          </w:p>
        </w:tc>
        <w:tc>
          <w:tcPr>
            <w:tcW w:w="4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32,391,485</w:t>
            </w: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32,391,485</w:t>
            </w:r>
          </w:p>
        </w:tc>
        <w:tc>
          <w:tcPr>
            <w:tcW w:w="120" w:type="dxa"/>
            <w:vAlign w:val="bottom"/>
          </w:tcPr>
          <w:p>
            <w:pPr>
              <w:spacing w:after="0"/>
              <w:rPr>
                <w:sz w:val="18"/>
                <w:szCs w:val="18"/>
                <w:color w:val="auto"/>
              </w:rPr>
            </w:pPr>
          </w:p>
        </w:tc>
      </w:tr>
      <w:tr>
        <w:trPr>
          <w:trHeight w:val="209"/>
        </w:trPr>
        <w:tc>
          <w:tcPr>
            <w:tcW w:w="4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Premiums receivable, net</w:t>
            </w:r>
          </w:p>
        </w:tc>
        <w:tc>
          <w:tcPr>
            <w:tcW w:w="1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11,913,123</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11,913,123</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12,706,411</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12,706,411</w:t>
            </w:r>
          </w:p>
        </w:tc>
        <w:tc>
          <w:tcPr>
            <w:tcW w:w="120" w:type="dxa"/>
            <w:vAlign w:val="bottom"/>
            <w:shd w:val="clear" w:color="auto" w:fill="CCEEFF"/>
          </w:tcPr>
          <w:p>
            <w:pPr>
              <w:spacing w:after="0"/>
              <w:rPr>
                <w:sz w:val="18"/>
                <w:szCs w:val="18"/>
                <w:color w:val="auto"/>
              </w:rPr>
            </w:pPr>
          </w:p>
        </w:tc>
      </w:tr>
      <w:tr>
        <w:trPr>
          <w:trHeight w:val="209"/>
        </w:trPr>
        <w:tc>
          <w:tcPr>
            <w:tcW w:w="4300" w:type="dxa"/>
            <w:vAlign w:val="bottom"/>
          </w:tcPr>
          <w:p>
            <w:pPr>
              <w:ind w:left="40"/>
              <w:spacing w:after="0"/>
              <w:rPr>
                <w:sz w:val="20"/>
                <w:szCs w:val="20"/>
                <w:color w:val="auto"/>
              </w:rPr>
            </w:pPr>
            <w:r>
              <w:rPr>
                <w:rFonts w:ascii="Arial" w:cs="Arial" w:eastAsia="Arial" w:hAnsi="Arial"/>
                <w:sz w:val="17"/>
                <w:szCs w:val="17"/>
                <w:color w:val="auto"/>
              </w:rPr>
              <w:t>Reinsurance receivables, net</w:t>
            </w:r>
          </w:p>
        </w:tc>
        <w:tc>
          <w:tcPr>
            <w:tcW w:w="18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42,709,055</w:t>
            </w:r>
          </w:p>
        </w:tc>
        <w:tc>
          <w:tcPr>
            <w:tcW w:w="4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42,709,055</w:t>
            </w:r>
          </w:p>
        </w:tc>
        <w:tc>
          <w:tcPr>
            <w:tcW w:w="4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40,750,538</w:t>
            </w: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40,750,538</w:t>
            </w:r>
          </w:p>
        </w:tc>
        <w:tc>
          <w:tcPr>
            <w:tcW w:w="120" w:type="dxa"/>
            <w:vAlign w:val="bottom"/>
          </w:tcPr>
          <w:p>
            <w:pPr>
              <w:spacing w:after="0"/>
              <w:rPr>
                <w:sz w:val="18"/>
                <w:szCs w:val="18"/>
                <w:color w:val="auto"/>
              </w:rPr>
            </w:pPr>
          </w:p>
        </w:tc>
      </w:tr>
      <w:tr>
        <w:trPr>
          <w:trHeight w:val="209"/>
        </w:trPr>
        <w:tc>
          <w:tcPr>
            <w:tcW w:w="430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Real estate, net of accumulated depreciation</w:t>
            </w:r>
          </w:p>
        </w:tc>
        <w:tc>
          <w:tcPr>
            <w:tcW w:w="18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2,275,307</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2,705,000</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2,292,743</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2,705,000</w:t>
            </w:r>
          </w:p>
        </w:tc>
        <w:tc>
          <w:tcPr>
            <w:tcW w:w="120" w:type="dxa"/>
            <w:vAlign w:val="bottom"/>
            <w:shd w:val="clear" w:color="auto" w:fill="CCEEFF"/>
          </w:tcPr>
          <w:p>
            <w:pPr>
              <w:spacing w:after="0"/>
              <w:rPr>
                <w:sz w:val="18"/>
                <w:szCs w:val="18"/>
                <w:color w:val="auto"/>
              </w:rPr>
            </w:pPr>
          </w:p>
        </w:tc>
      </w:tr>
      <w:tr>
        <w:trPr>
          <w:trHeight w:val="215"/>
        </w:trPr>
        <w:tc>
          <w:tcPr>
            <w:tcW w:w="4300" w:type="dxa"/>
            <w:vAlign w:val="bottom"/>
          </w:tcPr>
          <w:p>
            <w:pPr>
              <w:ind w:left="40"/>
              <w:spacing w:after="0"/>
              <w:rPr>
                <w:sz w:val="20"/>
                <w:szCs w:val="20"/>
                <w:color w:val="auto"/>
              </w:rPr>
            </w:pPr>
            <w:r>
              <w:rPr>
                <w:rFonts w:ascii="Arial" w:cs="Arial" w:eastAsia="Arial" w:hAnsi="Arial"/>
                <w:sz w:val="17"/>
                <w:szCs w:val="17"/>
                <w:color w:val="auto"/>
              </w:rPr>
              <w:t>Reinsurance balances payable</w:t>
            </w:r>
          </w:p>
        </w:tc>
        <w:tc>
          <w:tcPr>
            <w:tcW w:w="18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5,337,287</w:t>
            </w:r>
          </w:p>
        </w:tc>
        <w:tc>
          <w:tcPr>
            <w:tcW w:w="4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5,337,287</w:t>
            </w:r>
          </w:p>
        </w:tc>
        <w:tc>
          <w:tcPr>
            <w:tcW w:w="4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11,714,724</w:t>
            </w: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11,714,724</w:t>
            </w:r>
          </w:p>
        </w:tc>
        <w:tc>
          <w:tcPr>
            <w:tcW w:w="120" w:type="dxa"/>
            <w:vAlign w:val="bottom"/>
          </w:tcPr>
          <w:p>
            <w:pPr>
              <w:spacing w:after="0"/>
              <w:rPr>
                <w:sz w:val="18"/>
                <w:szCs w:val="18"/>
                <w:color w:val="auto"/>
              </w:rPr>
            </w:pPr>
          </w:p>
        </w:tc>
      </w:tr>
      <w:tr>
        <w:trPr>
          <w:trHeight w:val="829"/>
        </w:trPr>
        <w:tc>
          <w:tcPr>
            <w:tcW w:w="43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16</w:t>
            </w: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9"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980" w:type="dxa"/>
            <w:vAlign w:val="bottom"/>
            <w:gridSpan w:val="2"/>
          </w:tcPr>
          <w:p>
            <w:pPr>
              <w:spacing w:after="0"/>
              <w:rPr>
                <w:sz w:val="20"/>
                <w:szCs w:val="20"/>
                <w:color w:val="auto"/>
              </w:rPr>
            </w:pPr>
            <w:r>
              <w:rPr>
                <w:rFonts w:ascii="Arial" w:cs="Arial" w:eastAsia="Arial" w:hAnsi="Arial"/>
                <w:sz w:val="17"/>
                <w:szCs w:val="17"/>
                <w:b w:val="1"/>
                <w:bCs w:val="1"/>
                <w:color w:val="auto"/>
              </w:rPr>
              <w:t>Note 6 – Property and Casualty Insurance Activity</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16"/>
        </w:trPr>
        <w:tc>
          <w:tcPr>
            <w:tcW w:w="122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88"/>
              </w:rPr>
              <w:t>Premiums Earned</w:t>
            </w:r>
          </w:p>
        </w:tc>
        <w:tc>
          <w:tcPr>
            <w:tcW w:w="4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5"/>
        </w:trPr>
        <w:tc>
          <w:tcPr>
            <w:tcW w:w="5980" w:type="dxa"/>
            <w:vAlign w:val="bottom"/>
            <w:gridSpan w:val="2"/>
          </w:tcPr>
          <w:p>
            <w:pPr>
              <w:spacing w:after="0"/>
              <w:rPr>
                <w:sz w:val="20"/>
                <w:szCs w:val="20"/>
                <w:color w:val="auto"/>
              </w:rPr>
            </w:pPr>
            <w:r>
              <w:rPr>
                <w:rFonts w:ascii="Arial" w:cs="Arial" w:eastAsia="Arial" w:hAnsi="Arial"/>
                <w:sz w:val="17"/>
                <w:szCs w:val="17"/>
                <w:color w:val="auto"/>
              </w:rPr>
              <w:t>Premiums written, ceded and earned are as follows: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53"/>
        </w:trPr>
        <w:tc>
          <w:tcPr>
            <w:tcW w:w="12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7"/>
                <w:szCs w:val="17"/>
                <w:b w:val="1"/>
                <w:bCs w:val="1"/>
                <w:color w:val="auto"/>
              </w:rPr>
              <w:t>Direct</w:t>
            </w:r>
          </w:p>
        </w:tc>
        <w:tc>
          <w:tcPr>
            <w:tcW w:w="160" w:type="dxa"/>
            <w:vAlign w:val="bottom"/>
          </w:tcPr>
          <w:p>
            <w:pPr>
              <w:spacing w:after="0"/>
              <w:rPr>
                <w:sz w:val="24"/>
                <w:szCs w:val="2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w w:val="91"/>
              </w:rPr>
              <w:t>Assumed</w:t>
            </w:r>
          </w:p>
        </w:tc>
        <w:tc>
          <w:tcPr>
            <w:tcW w:w="180" w:type="dxa"/>
            <w:vAlign w:val="bottom"/>
          </w:tcPr>
          <w:p>
            <w:pPr>
              <w:spacing w:after="0"/>
              <w:rPr>
                <w:sz w:val="24"/>
                <w:szCs w:val="24"/>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7"/>
                <w:szCs w:val="17"/>
                <w:b w:val="1"/>
                <w:bCs w:val="1"/>
                <w:color w:val="auto"/>
              </w:rPr>
              <w:t>Ceded</w:t>
            </w:r>
          </w:p>
        </w:tc>
        <w:tc>
          <w:tcPr>
            <w:tcW w:w="220" w:type="dxa"/>
            <w:vAlign w:val="bottom"/>
          </w:tcPr>
          <w:p>
            <w:pPr>
              <w:spacing w:after="0"/>
              <w:rPr>
                <w:sz w:val="24"/>
                <w:szCs w:val="24"/>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rPr>
              <w:t>Net</w:t>
            </w:r>
          </w:p>
        </w:tc>
      </w:tr>
      <w:tr>
        <w:trPr>
          <w:trHeight w:val="469"/>
        </w:trPr>
        <w:tc>
          <w:tcPr>
            <w:tcW w:w="5980" w:type="dxa"/>
            <w:vAlign w:val="bottom"/>
            <w:gridSpan w:val="2"/>
          </w:tcPr>
          <w:p>
            <w:pPr>
              <w:spacing w:after="0"/>
              <w:rPr>
                <w:sz w:val="20"/>
                <w:szCs w:val="20"/>
                <w:color w:val="auto"/>
              </w:rPr>
            </w:pPr>
            <w:r>
              <w:rPr>
                <w:rFonts w:ascii="Arial" w:cs="Arial" w:eastAsia="Arial" w:hAnsi="Arial"/>
                <w:sz w:val="17"/>
                <w:szCs w:val="17"/>
                <w:b w:val="1"/>
                <w:bCs w:val="1"/>
                <w:color w:val="auto"/>
              </w:rPr>
              <w:t>Three months ended March 31, 2020</w:t>
            </w: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0"/>
        </w:trPr>
        <w:tc>
          <w:tcPr>
            <w:tcW w:w="59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Premiums written</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36,696,929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7"/>
              </w:rPr>
              <w:t>(13,506,255)</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23,190,674</w:t>
            </w:r>
          </w:p>
        </w:tc>
        <w:tc>
          <w:tcPr>
            <w:tcW w:w="120" w:type="dxa"/>
            <w:vAlign w:val="bottom"/>
            <w:shd w:val="clear" w:color="auto" w:fill="CCEEFF"/>
          </w:tcPr>
          <w:p>
            <w:pPr>
              <w:spacing w:after="0"/>
              <w:rPr>
                <w:sz w:val="18"/>
                <w:szCs w:val="18"/>
                <w:color w:val="auto"/>
              </w:rPr>
            </w:pPr>
          </w:p>
        </w:tc>
      </w:tr>
      <w:tr>
        <w:trPr>
          <w:trHeight w:val="209"/>
        </w:trPr>
        <w:tc>
          <w:tcPr>
            <w:tcW w:w="5980" w:type="dxa"/>
            <w:vAlign w:val="bottom"/>
            <w:gridSpan w:val="2"/>
          </w:tcPr>
          <w:p>
            <w:pPr>
              <w:ind w:left="40"/>
              <w:spacing w:after="0"/>
              <w:rPr>
                <w:sz w:val="20"/>
                <w:szCs w:val="20"/>
                <w:color w:val="auto"/>
              </w:rPr>
            </w:pPr>
            <w:r>
              <w:rPr>
                <w:rFonts w:ascii="Arial" w:cs="Arial" w:eastAsia="Arial" w:hAnsi="Arial"/>
                <w:sz w:val="17"/>
                <w:szCs w:val="17"/>
                <w:color w:val="auto"/>
              </w:rPr>
              <w:t>Change in unearned premiums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5,904,700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(2,153,924)</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3,750,776</w:t>
            </w:r>
          </w:p>
        </w:tc>
        <w:tc>
          <w:tcPr>
            <w:tcW w:w="120" w:type="dxa"/>
            <w:vAlign w:val="bottom"/>
          </w:tcPr>
          <w:p>
            <w:pPr>
              <w:spacing w:after="0"/>
              <w:rPr>
                <w:sz w:val="18"/>
                <w:szCs w:val="18"/>
                <w:color w:val="auto"/>
              </w:rPr>
            </w:pPr>
          </w:p>
        </w:tc>
      </w:tr>
      <w:tr>
        <w:trPr>
          <w:trHeight w:val="26"/>
        </w:trPr>
        <w:tc>
          <w:tcPr>
            <w:tcW w:w="12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49"/>
        </w:trPr>
        <w:tc>
          <w:tcPr>
            <w:tcW w:w="59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Premiums earned</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42,601,629</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7"/>
              </w:rPr>
              <w:t>(15,660,179)</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26,941,450</w:t>
            </w:r>
          </w:p>
        </w:tc>
        <w:tc>
          <w:tcPr>
            <w:tcW w:w="120" w:type="dxa"/>
            <w:vAlign w:val="bottom"/>
            <w:shd w:val="clear" w:color="auto" w:fill="CCEEFF"/>
          </w:tcPr>
          <w:p>
            <w:pPr>
              <w:spacing w:after="0"/>
              <w:rPr>
                <w:sz w:val="21"/>
                <w:szCs w:val="21"/>
                <w:color w:val="auto"/>
              </w:rPr>
            </w:pPr>
          </w:p>
        </w:tc>
      </w:tr>
      <w:tr>
        <w:trPr>
          <w:trHeight w:val="201"/>
        </w:trPr>
        <w:tc>
          <w:tcPr>
            <w:tcW w:w="1220" w:type="dxa"/>
            <w:vAlign w:val="bottom"/>
            <w:tcBorders>
              <w:top w:val="single" w:sz="8" w:color="CCEEFF"/>
            </w:tcBorders>
          </w:tcPr>
          <w:p>
            <w:pPr>
              <w:spacing w:after="0"/>
              <w:rPr>
                <w:sz w:val="17"/>
                <w:szCs w:val="17"/>
                <w:color w:val="auto"/>
              </w:rPr>
            </w:pPr>
          </w:p>
        </w:tc>
        <w:tc>
          <w:tcPr>
            <w:tcW w:w="47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09"/>
        </w:trPr>
        <w:tc>
          <w:tcPr>
            <w:tcW w:w="59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Three months ended March 31, 2019</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9"/>
        </w:trPr>
        <w:tc>
          <w:tcPr>
            <w:tcW w:w="5980" w:type="dxa"/>
            <w:vAlign w:val="bottom"/>
            <w:gridSpan w:val="2"/>
          </w:tcPr>
          <w:p>
            <w:pPr>
              <w:ind w:left="40"/>
              <w:spacing w:after="0"/>
              <w:rPr>
                <w:sz w:val="20"/>
                <w:szCs w:val="20"/>
                <w:color w:val="auto"/>
              </w:rPr>
            </w:pPr>
            <w:r>
              <w:rPr>
                <w:rFonts w:ascii="Arial" w:cs="Arial" w:eastAsia="Arial" w:hAnsi="Arial"/>
                <w:sz w:val="17"/>
                <w:szCs w:val="17"/>
                <w:color w:val="auto"/>
              </w:rPr>
              <w:t>Premiums written</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37,488,548</w:t>
            </w:r>
          </w:p>
        </w:tc>
        <w:tc>
          <w:tcPr>
            <w:tcW w:w="260" w:type="dxa"/>
            <w:vAlign w:val="bottom"/>
          </w:tcPr>
          <w:p>
            <w:pPr>
              <w:spacing w:after="0"/>
              <w:rPr>
                <w:sz w:val="18"/>
                <w:szCs w:val="18"/>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(34)</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(7,127,909)</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w w:val="98"/>
              </w:rPr>
              <w:t>30,360,605</w:t>
            </w:r>
          </w:p>
        </w:tc>
        <w:tc>
          <w:tcPr>
            <w:tcW w:w="120" w:type="dxa"/>
            <w:vAlign w:val="bottom"/>
          </w:tcPr>
          <w:p>
            <w:pPr>
              <w:spacing w:after="0"/>
              <w:rPr>
                <w:sz w:val="18"/>
                <w:szCs w:val="18"/>
                <w:color w:val="auto"/>
              </w:rPr>
            </w:pPr>
          </w:p>
        </w:tc>
      </w:tr>
      <w:tr>
        <w:trPr>
          <w:trHeight w:val="209"/>
        </w:trPr>
        <w:tc>
          <w:tcPr>
            <w:tcW w:w="59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Change in unearned premiums</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(628,067)</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(136,844)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(764,716)</w:t>
            </w:r>
          </w:p>
        </w:tc>
      </w:tr>
      <w:tr>
        <w:trPr>
          <w:trHeight w:val="26"/>
        </w:trPr>
        <w:tc>
          <w:tcPr>
            <w:tcW w:w="1220" w:type="dxa"/>
            <w:vAlign w:val="bottom"/>
            <w:shd w:val="clear" w:color="auto" w:fill="CCEEFF"/>
          </w:tcPr>
          <w:p>
            <w:pPr>
              <w:spacing w:after="0"/>
              <w:rPr>
                <w:sz w:val="2"/>
                <w:szCs w:val="2"/>
                <w:color w:val="auto"/>
              </w:rPr>
            </w:pPr>
          </w:p>
        </w:tc>
        <w:tc>
          <w:tcPr>
            <w:tcW w:w="47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09"/>
        </w:trPr>
        <w:tc>
          <w:tcPr>
            <w:tcW w:w="5980" w:type="dxa"/>
            <w:vAlign w:val="bottom"/>
            <w:gridSpan w:val="2"/>
          </w:tcPr>
          <w:p>
            <w:pPr>
              <w:ind w:left="40"/>
              <w:spacing w:after="0"/>
              <w:rPr>
                <w:sz w:val="20"/>
                <w:szCs w:val="20"/>
                <w:color w:val="auto"/>
              </w:rPr>
            </w:pPr>
            <w:r>
              <w:rPr>
                <w:rFonts w:ascii="Arial" w:cs="Arial" w:eastAsia="Arial" w:hAnsi="Arial"/>
                <w:sz w:val="17"/>
                <w:szCs w:val="17"/>
                <w:color w:val="auto"/>
              </w:rPr>
              <w:t>Premiums earned</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36,860,481</w:t>
            </w:r>
          </w:p>
        </w:tc>
        <w:tc>
          <w:tcPr>
            <w:tcW w:w="260" w:type="dxa"/>
            <w:vAlign w:val="bottom"/>
          </w:tcPr>
          <w:p>
            <w:pPr>
              <w:spacing w:after="0"/>
              <w:rPr>
                <w:sz w:val="18"/>
                <w:szCs w:val="18"/>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161</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(7,264,753)</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w w:val="98"/>
              </w:rPr>
              <w:t>29,595,889</w:t>
            </w:r>
          </w:p>
        </w:tc>
        <w:tc>
          <w:tcPr>
            <w:tcW w:w="120" w:type="dxa"/>
            <w:vAlign w:val="bottom"/>
          </w:tcPr>
          <w:p>
            <w:pPr>
              <w:spacing w:after="0"/>
              <w:rPr>
                <w:sz w:val="18"/>
                <w:szCs w:val="18"/>
                <w:color w:val="auto"/>
              </w:rPr>
            </w:pPr>
          </w:p>
        </w:tc>
      </w:tr>
      <w:tr>
        <w:trPr>
          <w:trHeight w:val="20"/>
        </w:trPr>
        <w:tc>
          <w:tcPr>
            <w:tcW w:w="12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Premium receipts in advance of the policy effective date are recorded as advance premiums. The balance of advance premiums as of March 31, 2020 and December 31, 2019 was $3,143,879 and $3,191,512,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Loss and Loss Adjustment Expense Reserves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a reconciliation of the beginning and ending balances for unpaid losses and loss adjustment expense (“LAE”) reserves: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r>
      <w:tr>
        <w:trPr>
          <w:trHeight w:val="199"/>
        </w:trPr>
        <w:tc>
          <w:tcPr>
            <w:tcW w:w="390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15"/>
        </w:trPr>
        <w:tc>
          <w:tcPr>
            <w:tcW w:w="39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8"/>
                <w:szCs w:val="18"/>
                <w:color w:val="auto"/>
              </w:rPr>
            </w:pPr>
          </w:p>
        </w:tc>
      </w:tr>
      <w:tr>
        <w:trPr>
          <w:trHeight w:val="235"/>
        </w:trPr>
        <w:tc>
          <w:tcPr>
            <w:tcW w:w="390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3900" w:type="dxa"/>
            <w:vAlign w:val="bottom"/>
            <w:shd w:val="clear" w:color="auto" w:fill="CCEEFF"/>
          </w:tcPr>
          <w:p>
            <w:pPr>
              <w:ind w:left="40"/>
              <w:spacing w:after="0"/>
              <w:rPr>
                <w:sz w:val="20"/>
                <w:szCs w:val="20"/>
                <w:color w:val="auto"/>
              </w:rPr>
            </w:pPr>
            <w:r>
              <w:rPr>
                <w:rFonts w:ascii="Arial" w:cs="Arial" w:eastAsia="Arial" w:hAnsi="Arial"/>
                <w:sz w:val="17"/>
                <w:szCs w:val="17"/>
                <w:color w:val="auto"/>
              </w:rPr>
              <w:t>Balance at beginning of period</w:t>
            </w:r>
          </w:p>
        </w:tc>
        <w:tc>
          <w:tcPr>
            <w:tcW w:w="4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80,498,611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56,197,106</w:t>
            </w:r>
          </w:p>
        </w:tc>
        <w:tc>
          <w:tcPr>
            <w:tcW w:w="120" w:type="dxa"/>
            <w:vAlign w:val="bottom"/>
            <w:shd w:val="clear" w:color="auto" w:fill="CCEEFF"/>
          </w:tcPr>
          <w:p>
            <w:pPr>
              <w:spacing w:after="0"/>
              <w:rPr>
                <w:sz w:val="18"/>
                <w:szCs w:val="18"/>
                <w:color w:val="auto"/>
              </w:rPr>
            </w:pPr>
          </w:p>
        </w:tc>
      </w:tr>
      <w:tr>
        <w:trPr>
          <w:trHeight w:val="215"/>
        </w:trPr>
        <w:tc>
          <w:tcPr>
            <w:tcW w:w="3900" w:type="dxa"/>
            <w:vAlign w:val="bottom"/>
          </w:tcPr>
          <w:p>
            <w:pPr>
              <w:ind w:left="40"/>
              <w:spacing w:after="0"/>
              <w:rPr>
                <w:sz w:val="20"/>
                <w:szCs w:val="20"/>
                <w:color w:val="auto"/>
              </w:rPr>
            </w:pPr>
            <w:r>
              <w:rPr>
                <w:rFonts w:ascii="Arial" w:cs="Arial" w:eastAsia="Arial" w:hAnsi="Arial"/>
                <w:sz w:val="17"/>
                <w:szCs w:val="17"/>
                <w:color w:val="auto"/>
              </w:rPr>
              <w:t>Less reinsurance recoverables</w:t>
            </w:r>
          </w:p>
        </w:tc>
        <w:tc>
          <w:tcPr>
            <w:tcW w:w="4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w w:val="97"/>
              </w:rPr>
              <w:t>(15,728,224)</w:t>
            </w: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w w:val="93"/>
              </w:rPr>
              <w:t>(15,671,247)</w:t>
            </w:r>
          </w:p>
        </w:tc>
      </w:tr>
      <w:tr>
        <w:trPr>
          <w:trHeight w:val="215"/>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balance, beginning of period</w:t>
            </w:r>
          </w:p>
        </w:tc>
        <w:tc>
          <w:tcPr>
            <w:tcW w:w="47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64,770,387</w:t>
            </w:r>
          </w:p>
        </w:tc>
        <w:tc>
          <w:tcPr>
            <w:tcW w:w="2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40,525,859</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39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390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Incurred related to:</w:t>
            </w:r>
          </w:p>
        </w:tc>
        <w:tc>
          <w:tcPr>
            <w:tcW w:w="4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9"/>
        </w:trPr>
        <w:tc>
          <w:tcPr>
            <w:tcW w:w="3900" w:type="dxa"/>
            <w:vAlign w:val="bottom"/>
          </w:tcPr>
          <w:p>
            <w:pPr>
              <w:ind w:left="40"/>
              <w:spacing w:after="0"/>
              <w:rPr>
                <w:sz w:val="20"/>
                <w:szCs w:val="20"/>
                <w:color w:val="auto"/>
              </w:rPr>
            </w:pPr>
            <w:r>
              <w:rPr>
                <w:rFonts w:ascii="Arial" w:cs="Arial" w:eastAsia="Arial" w:hAnsi="Arial"/>
                <w:sz w:val="17"/>
                <w:szCs w:val="17"/>
                <w:color w:val="auto"/>
              </w:rPr>
              <w:t>Current year</w:t>
            </w:r>
          </w:p>
        </w:tc>
        <w:tc>
          <w:tcPr>
            <w:tcW w:w="4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16,512,475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w w:val="98"/>
              </w:rPr>
              <w:t>24,655,975</w:t>
            </w:r>
          </w:p>
        </w:tc>
        <w:tc>
          <w:tcPr>
            <w:tcW w:w="120" w:type="dxa"/>
            <w:vAlign w:val="bottom"/>
          </w:tcPr>
          <w:p>
            <w:pPr>
              <w:spacing w:after="0"/>
              <w:rPr>
                <w:sz w:val="18"/>
                <w:szCs w:val="18"/>
                <w:color w:val="auto"/>
              </w:rPr>
            </w:pPr>
          </w:p>
        </w:tc>
      </w:tr>
      <w:tr>
        <w:trPr>
          <w:trHeight w:val="215"/>
        </w:trPr>
        <w:tc>
          <w:tcPr>
            <w:tcW w:w="3900" w:type="dxa"/>
            <w:vAlign w:val="bottom"/>
            <w:shd w:val="clear" w:color="auto" w:fill="CCEEFF"/>
          </w:tcPr>
          <w:p>
            <w:pPr>
              <w:ind w:left="40"/>
              <w:spacing w:after="0"/>
              <w:rPr>
                <w:sz w:val="20"/>
                <w:szCs w:val="20"/>
                <w:color w:val="auto"/>
              </w:rPr>
            </w:pPr>
            <w:r>
              <w:rPr>
                <w:rFonts w:ascii="Arial" w:cs="Arial" w:eastAsia="Arial" w:hAnsi="Arial"/>
                <w:sz w:val="17"/>
                <w:szCs w:val="17"/>
                <w:color w:val="auto"/>
              </w:rPr>
              <w:t>Prior years</w:t>
            </w:r>
          </w:p>
        </w:tc>
        <w:tc>
          <w:tcPr>
            <w:tcW w:w="4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(126,654)</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4,478,249</w:t>
            </w:r>
          </w:p>
        </w:tc>
        <w:tc>
          <w:tcPr>
            <w:tcW w:w="120" w:type="dxa"/>
            <w:vAlign w:val="bottom"/>
            <w:shd w:val="clear" w:color="auto" w:fill="CCEEFF"/>
          </w:tcPr>
          <w:p>
            <w:pPr>
              <w:spacing w:after="0"/>
              <w:rPr>
                <w:sz w:val="18"/>
                <w:szCs w:val="18"/>
                <w:color w:val="auto"/>
              </w:rPr>
            </w:pPr>
          </w:p>
        </w:tc>
      </w:tr>
      <w:tr>
        <w:trPr>
          <w:trHeight w:val="215"/>
        </w:trPr>
        <w:tc>
          <w:tcPr>
            <w:tcW w:w="3900" w:type="dxa"/>
            <w:vAlign w:val="bottom"/>
            <w:tcBorders>
              <w:top w:val="single" w:sz="8" w:color="CCEEFF"/>
            </w:tcBorders>
          </w:tcPr>
          <w:p>
            <w:pPr>
              <w:ind w:left="40"/>
              <w:spacing w:after="0"/>
              <w:rPr>
                <w:sz w:val="20"/>
                <w:szCs w:val="20"/>
                <w:color w:val="auto"/>
              </w:rPr>
            </w:pPr>
            <w:r>
              <w:rPr>
                <w:rFonts w:ascii="Arial" w:cs="Arial" w:eastAsia="Arial" w:hAnsi="Arial"/>
                <w:sz w:val="17"/>
                <w:szCs w:val="17"/>
                <w:color w:val="auto"/>
              </w:rPr>
              <w:t>Total incurred</w:t>
            </w:r>
          </w:p>
        </w:tc>
        <w:tc>
          <w:tcPr>
            <w:tcW w:w="47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16,385,821</w:t>
            </w: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29,134,224</w:t>
            </w:r>
          </w:p>
        </w:tc>
        <w:tc>
          <w:tcPr>
            <w:tcW w:w="120" w:type="dxa"/>
            <w:vAlign w:val="bottom"/>
            <w:tcBorders>
              <w:top w:val="single" w:sz="8" w:color="CCEEFF"/>
            </w:tcBorders>
          </w:tcPr>
          <w:p>
            <w:pPr>
              <w:spacing w:after="0"/>
              <w:rPr>
                <w:sz w:val="18"/>
                <w:szCs w:val="18"/>
                <w:color w:val="auto"/>
              </w:rPr>
            </w:pPr>
          </w:p>
        </w:tc>
      </w:tr>
      <w:tr>
        <w:trPr>
          <w:trHeight w:val="209"/>
        </w:trPr>
        <w:tc>
          <w:tcPr>
            <w:tcW w:w="3900" w:type="dxa"/>
            <w:vAlign w:val="bottom"/>
            <w:shd w:val="clear" w:color="auto" w:fill="CCEEFF"/>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9"/>
        </w:trPr>
        <w:tc>
          <w:tcPr>
            <w:tcW w:w="3900" w:type="dxa"/>
            <w:vAlign w:val="bottom"/>
          </w:tcPr>
          <w:p>
            <w:pPr>
              <w:ind w:left="40"/>
              <w:spacing w:after="0"/>
              <w:rPr>
                <w:sz w:val="20"/>
                <w:szCs w:val="20"/>
                <w:color w:val="auto"/>
              </w:rPr>
            </w:pPr>
            <w:r>
              <w:rPr>
                <w:rFonts w:ascii="Arial" w:cs="Arial" w:eastAsia="Arial" w:hAnsi="Arial"/>
                <w:sz w:val="17"/>
                <w:szCs w:val="17"/>
                <w:color w:val="auto"/>
              </w:rPr>
              <w:t>Paid related to:</w:t>
            </w:r>
          </w:p>
        </w:tc>
        <w:tc>
          <w:tcPr>
            <w:tcW w:w="4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3900" w:type="dxa"/>
            <w:vAlign w:val="bottom"/>
            <w:shd w:val="clear" w:color="auto" w:fill="CCEEFF"/>
          </w:tcPr>
          <w:p>
            <w:pPr>
              <w:ind w:left="40"/>
              <w:spacing w:after="0"/>
              <w:rPr>
                <w:sz w:val="20"/>
                <w:szCs w:val="20"/>
                <w:color w:val="auto"/>
              </w:rPr>
            </w:pPr>
            <w:r>
              <w:rPr>
                <w:rFonts w:ascii="Arial" w:cs="Arial" w:eastAsia="Arial" w:hAnsi="Arial"/>
                <w:sz w:val="17"/>
                <w:szCs w:val="17"/>
                <w:color w:val="auto"/>
              </w:rPr>
              <w:t>Current year</w:t>
            </w:r>
          </w:p>
        </w:tc>
        <w:tc>
          <w:tcPr>
            <w:tcW w:w="4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5,787,129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7,731,086</w:t>
            </w:r>
          </w:p>
        </w:tc>
        <w:tc>
          <w:tcPr>
            <w:tcW w:w="120" w:type="dxa"/>
            <w:vAlign w:val="bottom"/>
            <w:shd w:val="clear" w:color="auto" w:fill="CCEEFF"/>
          </w:tcPr>
          <w:p>
            <w:pPr>
              <w:spacing w:after="0"/>
              <w:rPr>
                <w:sz w:val="18"/>
                <w:szCs w:val="18"/>
                <w:color w:val="auto"/>
              </w:rPr>
            </w:pPr>
          </w:p>
        </w:tc>
      </w:tr>
      <w:tr>
        <w:trPr>
          <w:trHeight w:val="215"/>
        </w:trPr>
        <w:tc>
          <w:tcPr>
            <w:tcW w:w="3900" w:type="dxa"/>
            <w:vAlign w:val="bottom"/>
          </w:tcPr>
          <w:p>
            <w:pPr>
              <w:ind w:left="40"/>
              <w:spacing w:after="0"/>
              <w:rPr>
                <w:sz w:val="20"/>
                <w:szCs w:val="20"/>
                <w:color w:val="auto"/>
              </w:rPr>
            </w:pPr>
            <w:r>
              <w:rPr>
                <w:rFonts w:ascii="Arial" w:cs="Arial" w:eastAsia="Arial" w:hAnsi="Arial"/>
                <w:sz w:val="17"/>
                <w:szCs w:val="17"/>
                <w:color w:val="auto"/>
              </w:rPr>
              <w:t>Prior years</w:t>
            </w:r>
          </w:p>
        </w:tc>
        <w:tc>
          <w:tcPr>
            <w:tcW w:w="4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13,777,236</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8,405,440</w:t>
            </w:r>
          </w:p>
        </w:tc>
        <w:tc>
          <w:tcPr>
            <w:tcW w:w="120" w:type="dxa"/>
            <w:vAlign w:val="bottom"/>
          </w:tcPr>
          <w:p>
            <w:pPr>
              <w:spacing w:after="0"/>
              <w:rPr>
                <w:sz w:val="18"/>
                <w:szCs w:val="18"/>
                <w:color w:val="auto"/>
              </w:rPr>
            </w:pPr>
          </w:p>
        </w:tc>
      </w:tr>
      <w:tr>
        <w:trPr>
          <w:trHeight w:val="215"/>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Total paid</w:t>
            </w:r>
          </w:p>
        </w:tc>
        <w:tc>
          <w:tcPr>
            <w:tcW w:w="47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19,564,365</w:t>
            </w:r>
          </w:p>
        </w:tc>
        <w:tc>
          <w:tcPr>
            <w:tcW w:w="2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16,136,526</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390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3900" w:type="dxa"/>
            <w:vAlign w:val="bottom"/>
            <w:shd w:val="clear" w:color="auto" w:fill="CCEEFF"/>
          </w:tcPr>
          <w:p>
            <w:pPr>
              <w:ind w:left="40"/>
              <w:spacing w:after="0"/>
              <w:rPr>
                <w:sz w:val="20"/>
                <w:szCs w:val="20"/>
                <w:color w:val="auto"/>
              </w:rPr>
            </w:pPr>
            <w:r>
              <w:rPr>
                <w:rFonts w:ascii="Arial" w:cs="Arial" w:eastAsia="Arial" w:hAnsi="Arial"/>
                <w:sz w:val="17"/>
                <w:szCs w:val="17"/>
                <w:color w:val="auto"/>
              </w:rPr>
              <w:t>Net balance at end of period</w:t>
            </w:r>
          </w:p>
        </w:tc>
        <w:tc>
          <w:tcPr>
            <w:tcW w:w="4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61,591,843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53,523,557</w:t>
            </w:r>
          </w:p>
        </w:tc>
        <w:tc>
          <w:tcPr>
            <w:tcW w:w="120" w:type="dxa"/>
            <w:vAlign w:val="bottom"/>
            <w:shd w:val="clear" w:color="auto" w:fill="CCEEFF"/>
          </w:tcPr>
          <w:p>
            <w:pPr>
              <w:spacing w:after="0"/>
              <w:rPr>
                <w:sz w:val="18"/>
                <w:szCs w:val="18"/>
                <w:color w:val="auto"/>
              </w:rPr>
            </w:pPr>
          </w:p>
        </w:tc>
      </w:tr>
      <w:tr>
        <w:trPr>
          <w:trHeight w:val="215"/>
        </w:trPr>
        <w:tc>
          <w:tcPr>
            <w:tcW w:w="3900" w:type="dxa"/>
            <w:vAlign w:val="bottom"/>
          </w:tcPr>
          <w:p>
            <w:pPr>
              <w:ind w:left="40"/>
              <w:spacing w:after="0"/>
              <w:rPr>
                <w:sz w:val="20"/>
                <w:szCs w:val="20"/>
                <w:color w:val="auto"/>
              </w:rPr>
            </w:pPr>
            <w:r>
              <w:rPr>
                <w:rFonts w:ascii="Arial" w:cs="Arial" w:eastAsia="Arial" w:hAnsi="Arial"/>
                <w:sz w:val="17"/>
                <w:szCs w:val="17"/>
                <w:color w:val="auto"/>
              </w:rPr>
              <w:t>Add reinsurance recoverables</w:t>
            </w:r>
          </w:p>
        </w:tc>
        <w:tc>
          <w:tcPr>
            <w:tcW w:w="4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16,259,256</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15,586,714</w:t>
            </w:r>
          </w:p>
        </w:tc>
        <w:tc>
          <w:tcPr>
            <w:tcW w:w="120" w:type="dxa"/>
            <w:vAlign w:val="bottom"/>
          </w:tcPr>
          <w:p>
            <w:pPr>
              <w:spacing w:after="0"/>
              <w:rPr>
                <w:sz w:val="18"/>
                <w:szCs w:val="18"/>
                <w:color w:val="auto"/>
              </w:rPr>
            </w:pPr>
          </w:p>
        </w:tc>
      </w:tr>
      <w:tr>
        <w:trPr>
          <w:trHeight w:val="249"/>
        </w:trPr>
        <w:tc>
          <w:tcPr>
            <w:tcW w:w="3900" w:type="dxa"/>
            <w:vAlign w:val="bottom"/>
            <w:shd w:val="clear" w:color="auto" w:fill="CCEEFF"/>
          </w:tcPr>
          <w:p>
            <w:pPr>
              <w:ind w:left="40"/>
              <w:spacing w:after="0"/>
              <w:rPr>
                <w:sz w:val="20"/>
                <w:szCs w:val="20"/>
                <w:color w:val="auto"/>
              </w:rPr>
            </w:pPr>
            <w:r>
              <w:rPr>
                <w:rFonts w:ascii="Arial" w:cs="Arial" w:eastAsia="Arial" w:hAnsi="Arial"/>
                <w:sz w:val="17"/>
                <w:szCs w:val="17"/>
                <w:color w:val="auto"/>
              </w:rPr>
              <w:t>Balance at end of period</w:t>
            </w:r>
          </w:p>
        </w:tc>
        <w:tc>
          <w:tcPr>
            <w:tcW w:w="4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77,851,099</w:t>
            </w: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69,110,271</w:t>
            </w:r>
          </w:p>
        </w:tc>
        <w:tc>
          <w:tcPr>
            <w:tcW w:w="120" w:type="dxa"/>
            <w:vAlign w:val="bottom"/>
            <w:shd w:val="clear" w:color="auto" w:fill="CCEEFF"/>
          </w:tcPr>
          <w:p>
            <w:pPr>
              <w:spacing w:after="0"/>
              <w:rPr>
                <w:sz w:val="21"/>
                <w:szCs w:val="21"/>
                <w:color w:val="auto"/>
              </w:rPr>
            </w:pPr>
          </w:p>
        </w:tc>
      </w:tr>
      <w:tr>
        <w:trPr>
          <w:trHeight w:val="618"/>
        </w:trPr>
        <w:tc>
          <w:tcPr>
            <w:tcW w:w="3900" w:type="dxa"/>
            <w:vAlign w:val="bottom"/>
            <w:tcBorders>
              <w:top w:val="single" w:sz="8" w:color="CCEEFF"/>
              <w:bottom w:val="single" w:sz="8" w:color="auto"/>
            </w:tcBorders>
          </w:tcPr>
          <w:p>
            <w:pPr>
              <w:spacing w:after="0"/>
              <w:rPr>
                <w:sz w:val="24"/>
                <w:szCs w:val="24"/>
                <w:color w:val="auto"/>
              </w:rPr>
            </w:pPr>
          </w:p>
        </w:tc>
        <w:tc>
          <w:tcPr>
            <w:tcW w:w="4780" w:type="dxa"/>
            <w:vAlign w:val="bottom"/>
            <w:tcBorders>
              <w:top w:val="single" w:sz="8" w:color="CCEEFF"/>
              <w:bottom w:val="single" w:sz="8" w:color="auto"/>
            </w:tcBorders>
          </w:tcPr>
          <w:p>
            <w:pPr>
              <w:jc w:val="right"/>
              <w:ind w:right="2895"/>
              <w:spacing w:after="0"/>
              <w:rPr>
                <w:sz w:val="20"/>
                <w:szCs w:val="20"/>
                <w:color w:val="auto"/>
              </w:rPr>
            </w:pPr>
            <w:r>
              <w:rPr>
                <w:rFonts w:ascii="Arial" w:cs="Arial" w:eastAsia="Arial" w:hAnsi="Arial"/>
                <w:sz w:val="17"/>
                <w:szCs w:val="17"/>
                <w:color w:val="auto"/>
              </w:rPr>
              <w:t>17</w:t>
            </w:r>
          </w:p>
        </w:tc>
        <w:tc>
          <w:tcPr>
            <w:tcW w:w="18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45" w:right="339" w:bottom="1440" w:gutter="0" w:footer="0" w:header="0"/>
        </w:sectPr>
      </w:pPr>
    </w:p>
    <w:bookmarkStart w:id="19" w:name="page20"/>
    <w:bookmarkEnd w:id="19"/>
    <w:p>
      <w:pPr>
        <w:jc w:val="both"/>
        <w:spacing w:after="0" w:line="281" w:lineRule="auto"/>
        <w:rPr>
          <w:sz w:val="20"/>
          <w:szCs w:val="20"/>
          <w:color w:val="auto"/>
        </w:rPr>
      </w:pPr>
      <w:r>
        <w:rPr>
          <w:rFonts w:ascii="Arial" w:cs="Arial" w:eastAsia="Arial" w:hAnsi="Arial"/>
          <w:sz w:val="17"/>
          <w:szCs w:val="17"/>
          <w:color w:val="auto"/>
        </w:rPr>
        <w:t>Incurred losses and LAE are net of reinsurance recoveries under reinsurance contracts of $5,866,897 and $3,135,894 for the three months ended March 31, 2020 and 2019, respectively.</w:t>
      </w:r>
    </w:p>
    <w:p>
      <w:pPr>
        <w:spacing w:after="0" w:line="17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Prior year incurred loss and LAE development is based upon estimates by line of business and accident year. Prior year loss and LAE development incurred during the three months ended March 31, 2020 and 2019 was $126,654 favorable and $4,478,249 unfavorable, respectively. During the three months ended March 31, 2019, the Company increased case reserves for certain older open liability claims, which primarily affected the ultimate loss projections for commercial lines business. This was in response to management’s detailed review of open liability claims that resulted in new assessments of carried case and incurred but not reported (“IBNR”) reserve levels, giving consideration to both Company and industry trends.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Loss and LAE reserves</w:t>
      </w:r>
    </w:p>
    <w:p>
      <w:pPr>
        <w:spacing w:after="0" w:line="223"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The reserving process for loss and LAE reserves provides for the Company’s best estimate at a particular point in time of the ultimate unpaid cost of all losses and LAE incurred, including settlement and administration of losses, and is based on facts and circumstances then known including losses that have occurred but that have not yet been reported. The process relies on standard actuarial reserving methodologies, judgments relative to estimates of ultimate claim severity and frequency, the length of time before losses will develop to their ultimate level (‘tail’ factors), and the likelihood of changes in the law or other external factors that are beyond the Company’s control. Several actuarial reserving methodologies are used to estimate required loss reserves. The process produces carried reserves set by management based upon the actuaries’ best estimate and is the cumulative combination of the best estimates made by line of business, accident year, and loss and LAE. The amount of loss and LAE reserves for individual reported claims (the “case reserve”) is determined by the claims department and changes over time as new information is gathered. Such information is critical to the review of appropriate IBNR reserves and includes a review of coverage applicability, comparative liability on the part of the insured, injury severity, property damage, replacement cost estimates, and any other information considered pertinent to estimating the exposure presented by the claim. The amounts of loss and LAE reserves for unreported claims and development on known claims (IBNR reserves) are determined using historical information aggregated by line of insurance as adjusted to current conditions. Since this process produces loss reserves set by management based upon the actuaries’ best estimate, there is no explicit or implicit provision for uncertainty in the carried loss reserves.</w:t>
      </w:r>
    </w:p>
    <w:p>
      <w:pPr>
        <w:spacing w:after="0" w:line="165"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Due to the inherent uncertainty associated with the reserving process, the ultimate liability may differ, perhaps substantially, from the original estimate. Such estimates are regularly reviewed and updated and any resulting adjustments are included in the current period’s results. Reserves are closely monitored and are recomputed periodically using the most recent information on reported claims and a variety of statistical techniques. On at least a quarterly basis, the Company reviews by line of business existing reserves, new claims, changes to existing case reserves, and paid losses with respect to the current and prior periods. Several methods are used, varying by line of business and accident year, in order to select the estimated period-end loss reserves. These methods include the following:</w:t>
      </w:r>
    </w:p>
    <w:p>
      <w:pPr>
        <w:spacing w:after="0" w:line="159" w:lineRule="exact"/>
        <w:rPr>
          <w:sz w:val="20"/>
          <w:szCs w:val="20"/>
          <w:color w:val="auto"/>
        </w:rPr>
      </w:pPr>
    </w:p>
    <w:p>
      <w:pPr>
        <w:ind w:left="640"/>
        <w:spacing w:after="0"/>
        <w:rPr>
          <w:sz w:val="20"/>
          <w:szCs w:val="20"/>
          <w:color w:val="auto"/>
        </w:rPr>
      </w:pPr>
      <w:r>
        <w:rPr>
          <w:rFonts w:ascii="Arial" w:cs="Arial" w:eastAsia="Arial" w:hAnsi="Arial"/>
          <w:sz w:val="15"/>
          <w:szCs w:val="15"/>
          <w:i w:val="1"/>
          <w:iCs w:val="1"/>
          <w:color w:val="auto"/>
        </w:rPr>
        <w:t xml:space="preserve">Paid Loss Development </w:t>
      </w:r>
      <w:r>
        <w:rPr>
          <w:rFonts w:ascii="Arial" w:cs="Arial" w:eastAsia="Arial" w:hAnsi="Arial"/>
          <w:sz w:val="15"/>
          <w:szCs w:val="15"/>
          <w:color w:val="auto"/>
        </w:rPr>
        <w:t>– historical patterns of paid loss development are used to project future paid loss emergence in order to estimate required reserves.</w:t>
      </w:r>
    </w:p>
    <w:p>
      <w:pPr>
        <w:spacing w:after="0" w:line="246" w:lineRule="exact"/>
        <w:rPr>
          <w:sz w:val="20"/>
          <w:szCs w:val="20"/>
          <w:color w:val="auto"/>
        </w:rPr>
      </w:pPr>
    </w:p>
    <w:p>
      <w:pPr>
        <w:ind w:left="640"/>
        <w:spacing w:after="0" w:line="281" w:lineRule="auto"/>
        <w:rPr>
          <w:sz w:val="20"/>
          <w:szCs w:val="20"/>
          <w:color w:val="auto"/>
        </w:rPr>
      </w:pPr>
      <w:r>
        <w:rPr>
          <w:rFonts w:ascii="Arial" w:cs="Arial" w:eastAsia="Arial" w:hAnsi="Arial"/>
          <w:sz w:val="17"/>
          <w:szCs w:val="17"/>
          <w:i w:val="1"/>
          <w:iCs w:val="1"/>
          <w:color w:val="auto"/>
        </w:rPr>
        <w:t xml:space="preserve">Incurred Loss Development </w:t>
      </w:r>
      <w:r>
        <w:rPr>
          <w:rFonts w:ascii="Arial" w:cs="Arial" w:eastAsia="Arial" w:hAnsi="Arial"/>
          <w:sz w:val="17"/>
          <w:szCs w:val="17"/>
          <w:color w:val="auto"/>
        </w:rPr>
        <w:t>– historical patterns of incurred loss development, reflecting both paid losses and changes in case reserves, are used to project</w:t>
      </w:r>
      <w:r>
        <w:rPr>
          <w:rFonts w:ascii="Arial" w:cs="Arial" w:eastAsia="Arial" w:hAnsi="Arial"/>
          <w:sz w:val="17"/>
          <w:szCs w:val="17"/>
          <w:i w:val="1"/>
          <w:iCs w:val="1"/>
          <w:color w:val="auto"/>
        </w:rPr>
        <w:t xml:space="preserve"> </w:t>
      </w:r>
      <w:r>
        <w:rPr>
          <w:rFonts w:ascii="Arial" w:cs="Arial" w:eastAsia="Arial" w:hAnsi="Arial"/>
          <w:sz w:val="17"/>
          <w:szCs w:val="17"/>
          <w:color w:val="auto"/>
        </w:rPr>
        <w:t>future incurred loss emergence in order to estimate required reserves.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0" w:name="page21"/>
    <w:bookmarkEnd w:id="20"/>
    <w:p>
      <w:pPr>
        <w:jc w:val="both"/>
        <w:ind w:left="640"/>
        <w:spacing w:after="0" w:line="286" w:lineRule="auto"/>
        <w:rPr>
          <w:sz w:val="20"/>
          <w:szCs w:val="20"/>
          <w:color w:val="auto"/>
        </w:rPr>
      </w:pPr>
      <w:r>
        <w:rPr>
          <w:rFonts w:ascii="Arial" w:cs="Arial" w:eastAsia="Arial" w:hAnsi="Arial"/>
          <w:sz w:val="16"/>
          <w:szCs w:val="16"/>
          <w:i w:val="1"/>
          <w:iCs w:val="1"/>
          <w:color w:val="auto"/>
        </w:rPr>
        <w:t xml:space="preserve">Paid Bornhuetter-Ferguson (“BF”) </w:t>
      </w:r>
      <w:r>
        <w:rPr>
          <w:rFonts w:ascii="Arial" w:cs="Arial" w:eastAsia="Arial" w:hAnsi="Arial"/>
          <w:sz w:val="16"/>
          <w:szCs w:val="16"/>
          <w:color w:val="auto"/>
        </w:rPr>
        <w:t>– an estimated loss ratio for a particular accident year is determined, and is weighted against the portion of the accident</w:t>
      </w:r>
      <w:r>
        <w:rPr>
          <w:rFonts w:ascii="Arial" w:cs="Arial" w:eastAsia="Arial" w:hAnsi="Arial"/>
          <w:sz w:val="16"/>
          <w:szCs w:val="16"/>
          <w:i w:val="1"/>
          <w:iCs w:val="1"/>
          <w:color w:val="auto"/>
        </w:rPr>
        <w:t xml:space="preserve"> </w:t>
      </w:r>
      <w:r>
        <w:rPr>
          <w:rFonts w:ascii="Arial" w:cs="Arial" w:eastAsia="Arial" w:hAnsi="Arial"/>
          <w:sz w:val="16"/>
          <w:szCs w:val="16"/>
          <w:color w:val="auto"/>
        </w:rPr>
        <w:t>year claims that have been paid, based on historical paid loss development patterns. The estimate of required reserves assumes that the remaining unpaid portion of a particular accident year will pay out at a rate consistent with the estimated loss ratio for that year. This method can be useful for situations where an unusually high or low amount of paid losses exists at the early stages of the claims development process.</w:t>
      </w:r>
    </w:p>
    <w:p>
      <w:pPr>
        <w:spacing w:after="0" w:line="168" w:lineRule="exact"/>
        <w:rPr>
          <w:sz w:val="20"/>
          <w:szCs w:val="20"/>
          <w:color w:val="auto"/>
        </w:rPr>
      </w:pPr>
    </w:p>
    <w:p>
      <w:pPr>
        <w:jc w:val="both"/>
        <w:ind w:left="640"/>
        <w:spacing w:after="0" w:line="310" w:lineRule="auto"/>
        <w:rPr>
          <w:sz w:val="20"/>
          <w:szCs w:val="20"/>
          <w:color w:val="auto"/>
        </w:rPr>
      </w:pPr>
      <w:r>
        <w:rPr>
          <w:rFonts w:ascii="Arial" w:cs="Arial" w:eastAsia="Arial" w:hAnsi="Arial"/>
          <w:sz w:val="15"/>
          <w:szCs w:val="15"/>
          <w:i w:val="1"/>
          <w:iCs w:val="1"/>
          <w:color w:val="auto"/>
        </w:rPr>
        <w:t xml:space="preserve">Incurred Bornhuetter-Ferguson (“BF”) </w:t>
      </w:r>
      <w:r>
        <w:rPr>
          <w:rFonts w:ascii="Arial" w:cs="Arial" w:eastAsia="Arial" w:hAnsi="Arial"/>
          <w:sz w:val="15"/>
          <w:szCs w:val="15"/>
          <w:color w:val="auto"/>
        </w:rPr>
        <w:t>- an estimated loss ratio for a particular accident year is determined, and is weighted against the portion of the</w:t>
      </w:r>
      <w:r>
        <w:rPr>
          <w:rFonts w:ascii="Arial" w:cs="Arial" w:eastAsia="Arial" w:hAnsi="Arial"/>
          <w:sz w:val="15"/>
          <w:szCs w:val="15"/>
          <w:i w:val="1"/>
          <w:iCs w:val="1"/>
          <w:color w:val="auto"/>
        </w:rPr>
        <w:t xml:space="preserve"> </w:t>
      </w:r>
      <w:r>
        <w:rPr>
          <w:rFonts w:ascii="Arial" w:cs="Arial" w:eastAsia="Arial" w:hAnsi="Arial"/>
          <w:sz w:val="15"/>
          <w:szCs w:val="15"/>
          <w:color w:val="auto"/>
        </w:rPr>
        <w:t>accident year claims that have been reported, based on historical incurred loss development patterns. The estimate of required reserves assumes that the remaining unreported portion of a particular accident year will pay out at a rate consistent with the estimated loss ratio for that year. This method can be useful for situations where an unusually high or low amount of reported losses exists at the early stages of the claims development process.</w:t>
      </w:r>
    </w:p>
    <w:p>
      <w:pPr>
        <w:spacing w:after="0" w:line="154" w:lineRule="exact"/>
        <w:rPr>
          <w:sz w:val="20"/>
          <w:szCs w:val="20"/>
          <w:color w:val="auto"/>
        </w:rPr>
      </w:pPr>
    </w:p>
    <w:p>
      <w:pPr>
        <w:jc w:val="both"/>
        <w:ind w:left="640"/>
        <w:spacing w:after="0" w:line="262" w:lineRule="auto"/>
        <w:rPr>
          <w:sz w:val="20"/>
          <w:szCs w:val="20"/>
          <w:color w:val="auto"/>
        </w:rPr>
      </w:pPr>
      <w:r>
        <w:rPr>
          <w:rFonts w:ascii="Arial" w:cs="Arial" w:eastAsia="Arial" w:hAnsi="Arial"/>
          <w:sz w:val="17"/>
          <w:szCs w:val="17"/>
          <w:i w:val="1"/>
          <w:iCs w:val="1"/>
          <w:color w:val="auto"/>
        </w:rPr>
        <w:t xml:space="preserve">Incremental Claim-Based Methods </w:t>
      </w:r>
      <w:r>
        <w:rPr>
          <w:rFonts w:ascii="Arial" w:cs="Arial" w:eastAsia="Arial" w:hAnsi="Arial"/>
          <w:sz w:val="17"/>
          <w:szCs w:val="17"/>
          <w:color w:val="auto"/>
        </w:rPr>
        <w:t>– historical patterns of incremental incurred losses and paid LAE during various stages of development are reviewed</w:t>
      </w:r>
      <w:r>
        <w:rPr>
          <w:rFonts w:ascii="Arial" w:cs="Arial" w:eastAsia="Arial" w:hAnsi="Arial"/>
          <w:sz w:val="17"/>
          <w:szCs w:val="17"/>
          <w:i w:val="1"/>
          <w:iCs w:val="1"/>
          <w:color w:val="auto"/>
        </w:rPr>
        <w:t xml:space="preserve"> </w:t>
      </w:r>
      <w:r>
        <w:rPr>
          <w:rFonts w:ascii="Arial" w:cs="Arial" w:eastAsia="Arial" w:hAnsi="Arial"/>
          <w:sz w:val="17"/>
          <w:szCs w:val="17"/>
          <w:color w:val="auto"/>
        </w:rPr>
        <w:t>and assumptions are made regarding average loss and LAE development applied to remaining claims inventory. Such methods more properly reflect changes in the speed of claims closure and the relative adequacy of case reserve levels at various stages of development. These methods may provide a more accurate estimate of IBNR for lines of business with relatively few remaining open claims but for which significant recent settlement activity has occurred.</w:t>
      </w:r>
    </w:p>
    <w:p>
      <w:pPr>
        <w:spacing w:after="0" w:line="188" w:lineRule="exact"/>
        <w:rPr>
          <w:sz w:val="20"/>
          <w:szCs w:val="20"/>
          <w:color w:val="auto"/>
        </w:rPr>
      </w:pPr>
    </w:p>
    <w:p>
      <w:pPr>
        <w:jc w:val="both"/>
        <w:ind w:left="640"/>
        <w:spacing w:after="0" w:line="261" w:lineRule="auto"/>
        <w:rPr>
          <w:sz w:val="20"/>
          <w:szCs w:val="20"/>
          <w:color w:val="auto"/>
        </w:rPr>
      </w:pPr>
      <w:r>
        <w:rPr>
          <w:rFonts w:ascii="Arial" w:cs="Arial" w:eastAsia="Arial" w:hAnsi="Arial"/>
          <w:sz w:val="17"/>
          <w:szCs w:val="17"/>
          <w:i w:val="1"/>
          <w:iCs w:val="1"/>
          <w:color w:val="auto"/>
        </w:rPr>
        <w:t xml:space="preserve">Frequency / Severity Based Methods </w:t>
      </w:r>
      <w:r>
        <w:rPr>
          <w:rFonts w:ascii="Arial" w:cs="Arial" w:eastAsia="Arial" w:hAnsi="Arial"/>
          <w:sz w:val="17"/>
          <w:szCs w:val="17"/>
          <w:color w:val="auto"/>
        </w:rPr>
        <w:t>– historical measurements of claim frequency and average paid claim size (severity) are reviewed for more mature</w:t>
      </w:r>
      <w:r>
        <w:rPr>
          <w:rFonts w:ascii="Arial" w:cs="Arial" w:eastAsia="Arial" w:hAnsi="Arial"/>
          <w:sz w:val="17"/>
          <w:szCs w:val="17"/>
          <w:i w:val="1"/>
          <w:iCs w:val="1"/>
          <w:color w:val="auto"/>
        </w:rPr>
        <w:t xml:space="preserve"> </w:t>
      </w:r>
      <w:r>
        <w:rPr>
          <w:rFonts w:ascii="Arial" w:cs="Arial" w:eastAsia="Arial" w:hAnsi="Arial"/>
          <w:sz w:val="17"/>
          <w:szCs w:val="17"/>
          <w:color w:val="auto"/>
        </w:rPr>
        <w:t>accident years where a majority of claims have been reported and/or closed. These historical averages are trended forward to more recent periods in order to estimate ultimate losses for newer accident years that are not yet fully developed. These methods are useful for lines of business with slow and/or volatile loss development patterns, such as liability lines where information pertaining to individual cases may not be completely known for many years. The claim frequency and severity information for older periods can then be used as reasonable measures for developing a range of estimates for more recent immature periods.</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Management’s best estimate of required reserves is generally based on an average of the methods above, with appropriate weighting of methods based on the line of business and accident year being projected. In some cases, additional methods or historical data from industry sources are employed to supplement the projections derived from the methods listed above.</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Three key assumptions that materially affect the estimate of loss reserves are the loss ratio estimate for the current accident year used in the BF methods, the loss development factor selections used in the loss development methods, and the loss severity assumptions used in the frequency / severity method described above. The loss ratio estimates used in the BF methods are selected after reviewing historical accident year loss ratios adjusted for rate changes, trend, and mix of business. The severity assumptions used in the frequency / severity method are determined by reviewing historical average claim severity for older more mature accident periods, trended forward to less mature accident periods.</w:t>
      </w:r>
    </w:p>
    <w:p>
      <w:pPr>
        <w:spacing w:after="0" w:line="18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Company is not aware of any claim trends that have emerged or that would cause future adverse development that have not already been contemplated in setting current carried reserves levels.</w:t>
      </w:r>
    </w:p>
    <w:p>
      <w:pPr>
        <w:spacing w:after="0" w:line="19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New York State, lawsuits for negligence are subject to certain limitations and must be commenced within three years from the date of the accident or are otherwise barred. Accordingly, the Company’s exposure to unreported claims (“pure” IBNR) for accident dates of March 31, 2017 and prior is limited, although there remains the possibility of adverse development on reported claims (“case development” IBNR). In certain rare circumstances states have retroactively revised a statute of limitations. The Company is not aware of any such effort that would have a material impact on the Company’s results.</w:t>
      </w:r>
    </w:p>
    <w:p>
      <w:pPr>
        <w:spacing w:after="0" w:line="168" w:lineRule="exact"/>
        <w:rPr>
          <w:sz w:val="20"/>
          <w:szCs w:val="20"/>
          <w:color w:val="auto"/>
        </w:rPr>
      </w:pPr>
    </w:p>
    <w:p>
      <w:pPr>
        <w:jc w:val="both"/>
        <w:spacing w:after="0" w:line="320" w:lineRule="auto"/>
        <w:rPr>
          <w:sz w:val="20"/>
          <w:szCs w:val="20"/>
          <w:color w:val="auto"/>
        </w:rPr>
      </w:pPr>
      <w:r>
        <w:rPr>
          <w:rFonts w:ascii="Arial" w:cs="Arial" w:eastAsia="Arial" w:hAnsi="Arial"/>
          <w:sz w:val="15"/>
          <w:szCs w:val="15"/>
          <w:color w:val="auto"/>
        </w:rPr>
        <w:t>The following is information about incurred and paid claims development as of March 31, 2020, net of reinsurance, as well as the cumulative reported claims by accident year and total IBNR reserves as of March 31, 2020 included in the net incurred loss and allocated expense amounts. The historical information regarding incurred and paid claims development for the years ended December 31, 2011 to December 31, 2019 is presented as supplementary unaudited information.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b w:val="1"/>
          <w:bCs w:val="1"/>
          <w:color w:val="auto"/>
        </w:rPr>
        <w:t>All Lines of Business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 thousands, except reported claims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1"/>
              </w:rPr>
              <w:t>As of</w:t>
            </w:r>
          </w:p>
        </w:tc>
      </w:tr>
      <w:tr>
        <w:trPr>
          <w:trHeight w:val="176"/>
        </w:trPr>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100" w:type="dxa"/>
            <w:vAlign w:val="bottom"/>
            <w:gridSpan w:val="22"/>
          </w:tcPr>
          <w:p>
            <w:pPr>
              <w:ind w:left="100"/>
              <w:spacing w:after="0"/>
              <w:rPr>
                <w:sz w:val="20"/>
                <w:szCs w:val="20"/>
                <w:color w:val="auto"/>
              </w:rPr>
            </w:pPr>
            <w:r>
              <w:rPr>
                <w:rFonts w:ascii="Arial" w:cs="Arial" w:eastAsia="Arial" w:hAnsi="Arial"/>
                <w:sz w:val="14"/>
                <w:szCs w:val="14"/>
                <w:b w:val="1"/>
                <w:bCs w:val="1"/>
                <w:color w:val="auto"/>
                <w:w w:val="97"/>
              </w:rPr>
              <w:t>Incurred Loss and Allocated Loss Adjustment Expenses, Net of Reinsurance</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6"/>
              </w:rPr>
              <w:t>March 31, 2020</w:t>
            </w:r>
          </w:p>
        </w:tc>
      </w:tr>
      <w:tr>
        <w:trPr>
          <w:trHeight w:val="143"/>
        </w:trPr>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center"/>
              <w:ind w:right="28"/>
              <w:spacing w:after="0" w:line="143" w:lineRule="exact"/>
              <w:rPr>
                <w:sz w:val="20"/>
                <w:szCs w:val="20"/>
                <w:color w:val="auto"/>
              </w:rPr>
            </w:pPr>
            <w:r>
              <w:rPr>
                <w:rFonts w:ascii="Arial" w:cs="Arial" w:eastAsia="Arial" w:hAnsi="Arial"/>
                <w:sz w:val="14"/>
                <w:szCs w:val="14"/>
                <w:b w:val="1"/>
                <w:bCs w:val="1"/>
                <w:color w:val="auto"/>
                <w:w w:val="92"/>
              </w:rPr>
              <w:t>For the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center"/>
              <w:spacing w:after="0" w:line="143" w:lineRule="exact"/>
              <w:rPr>
                <w:sz w:val="20"/>
                <w:szCs w:val="20"/>
                <w:color w:val="auto"/>
              </w:rPr>
            </w:pPr>
            <w:r>
              <w:rPr>
                <w:rFonts w:ascii="Arial" w:cs="Arial" w:eastAsia="Arial" w:hAnsi="Arial"/>
                <w:sz w:val="14"/>
                <w:szCs w:val="14"/>
                <w:b w:val="1"/>
                <w:bCs w:val="1"/>
                <w:color w:val="auto"/>
                <w:w w:val="95"/>
              </w:rPr>
              <w:t>Cumulative</w:t>
            </w:r>
          </w:p>
        </w:tc>
        <w:tc>
          <w:tcPr>
            <w:tcW w:w="160" w:type="dxa"/>
            <w:vAlign w:val="bottom"/>
            <w:gridSpan w:val="2"/>
          </w:tcPr>
          <w:p>
            <w:pPr>
              <w:spacing w:after="0"/>
              <w:rPr>
                <w:sz w:val="12"/>
                <w:szCs w:val="12"/>
                <w:color w:val="auto"/>
              </w:rPr>
            </w:pPr>
          </w:p>
        </w:tc>
      </w:tr>
      <w:tr>
        <w:trPr>
          <w:trHeight w:val="157"/>
        </w:trPr>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93"/>
              </w:rPr>
              <w:t>three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3"/>
          </w:tcPr>
          <w:p>
            <w:pPr>
              <w:jc w:val="center"/>
              <w:ind w:right="160"/>
              <w:spacing w:after="0" w:line="157" w:lineRule="exact"/>
              <w:rPr>
                <w:sz w:val="20"/>
                <w:szCs w:val="20"/>
                <w:color w:val="auto"/>
              </w:rPr>
            </w:pPr>
            <w:r>
              <w:rPr>
                <w:rFonts w:ascii="Arial" w:cs="Arial" w:eastAsia="Arial" w:hAnsi="Arial"/>
                <w:sz w:val="14"/>
                <w:szCs w:val="14"/>
                <w:b w:val="1"/>
                <w:bCs w:val="1"/>
                <w:color w:val="auto"/>
                <w:w w:val="97"/>
              </w:rPr>
              <w:t>Number of</w:t>
            </w:r>
          </w:p>
        </w:tc>
      </w:tr>
      <w:tr>
        <w:trPr>
          <w:trHeight w:val="157"/>
        </w:trPr>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86"/>
              </w:rPr>
              <w:t>months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3"/>
          </w:tcPr>
          <w:p>
            <w:pPr>
              <w:jc w:val="center"/>
              <w:ind w:right="160"/>
              <w:spacing w:after="0" w:line="157" w:lineRule="exact"/>
              <w:rPr>
                <w:sz w:val="20"/>
                <w:szCs w:val="20"/>
                <w:color w:val="auto"/>
              </w:rPr>
            </w:pPr>
            <w:r>
              <w:rPr>
                <w:rFonts w:ascii="Arial" w:cs="Arial" w:eastAsia="Arial" w:hAnsi="Arial"/>
                <w:sz w:val="14"/>
                <w:szCs w:val="14"/>
                <w:b w:val="1"/>
                <w:bCs w:val="1"/>
                <w:color w:val="auto"/>
                <w:w w:val="91"/>
              </w:rPr>
              <w:t>Reported</w:t>
            </w:r>
          </w:p>
        </w:tc>
      </w:tr>
      <w:tr>
        <w:trPr>
          <w:trHeight w:val="157"/>
        </w:trPr>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60" w:type="dxa"/>
            <w:vAlign w:val="bottom"/>
            <w:gridSpan w:val="10"/>
          </w:tcPr>
          <w:p>
            <w:pPr>
              <w:jc w:val="center"/>
              <w:ind w:right="240"/>
              <w:spacing w:after="0" w:line="157" w:lineRule="exact"/>
              <w:rPr>
                <w:sz w:val="20"/>
                <w:szCs w:val="20"/>
                <w:color w:val="auto"/>
              </w:rPr>
            </w:pPr>
            <w:r>
              <w:rPr>
                <w:rFonts w:ascii="Arial" w:cs="Arial" w:eastAsia="Arial" w:hAnsi="Arial"/>
                <w:sz w:val="14"/>
                <w:szCs w:val="14"/>
                <w:b w:val="1"/>
                <w:bCs w:val="1"/>
                <w:color w:val="auto"/>
                <w:w w:val="92"/>
              </w:rPr>
              <w:t>For the Years Ended December 31,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w w:val="87"/>
              </w:rPr>
              <w:t>ended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3"/>
          </w:tcPr>
          <w:p>
            <w:pPr>
              <w:jc w:val="center"/>
              <w:ind w:right="180"/>
              <w:spacing w:after="0" w:line="157" w:lineRule="exact"/>
              <w:rPr>
                <w:sz w:val="20"/>
                <w:szCs w:val="20"/>
                <w:color w:val="auto"/>
              </w:rPr>
            </w:pPr>
            <w:r>
              <w:rPr>
                <w:rFonts w:ascii="Arial" w:cs="Arial" w:eastAsia="Arial" w:hAnsi="Arial"/>
                <w:sz w:val="14"/>
                <w:szCs w:val="14"/>
                <w:b w:val="1"/>
                <w:bCs w:val="1"/>
                <w:color w:val="auto"/>
                <w:w w:val="93"/>
              </w:rPr>
              <w:t>Claims by</w:t>
            </w:r>
          </w:p>
        </w:tc>
      </w:tr>
      <w:tr>
        <w:trPr>
          <w:trHeight w:val="157"/>
        </w:trPr>
        <w:tc>
          <w:tcPr>
            <w:tcW w:w="5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1"/>
              </w:rPr>
              <w:t>Accident</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3"/>
          </w:tcPr>
          <w:p>
            <w:pPr>
              <w:jc w:val="center"/>
              <w:ind w:right="100"/>
              <w:spacing w:after="0" w:line="157" w:lineRule="exact"/>
              <w:rPr>
                <w:sz w:val="20"/>
                <w:szCs w:val="20"/>
                <w:color w:val="auto"/>
              </w:rPr>
            </w:pPr>
            <w:r>
              <w:rPr>
                <w:rFonts w:ascii="Arial" w:cs="Arial" w:eastAsia="Arial" w:hAnsi="Arial"/>
                <w:sz w:val="14"/>
                <w:szCs w:val="14"/>
                <w:b w:val="1"/>
                <w:bCs w:val="1"/>
                <w:color w:val="auto"/>
                <w:w w:val="99"/>
              </w:rPr>
              <w:t>March 31,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gridSpan w:val="3"/>
          </w:tcPr>
          <w:p>
            <w:pPr>
              <w:jc w:val="center"/>
              <w:ind w:right="140"/>
              <w:spacing w:after="0" w:line="157" w:lineRule="exact"/>
              <w:rPr>
                <w:sz w:val="20"/>
                <w:szCs w:val="20"/>
                <w:color w:val="auto"/>
              </w:rPr>
            </w:pPr>
            <w:r>
              <w:rPr>
                <w:rFonts w:ascii="Arial" w:cs="Arial" w:eastAsia="Arial" w:hAnsi="Arial"/>
                <w:sz w:val="14"/>
                <w:szCs w:val="14"/>
                <w:b w:val="1"/>
                <w:bCs w:val="1"/>
                <w:color w:val="auto"/>
                <w:w w:val="91"/>
              </w:rPr>
              <w:t>Accident</w:t>
            </w:r>
          </w:p>
        </w:tc>
      </w:tr>
      <w:tr>
        <w:trPr>
          <w:trHeight w:val="176"/>
        </w:trPr>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2015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IBNR</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160" w:type="dxa"/>
            <w:vAlign w:val="bottom"/>
            <w:gridSpan w:val="2"/>
          </w:tcPr>
          <w:p>
            <w:pPr>
              <w:spacing w:after="0"/>
              <w:rPr>
                <w:sz w:val="15"/>
                <w:szCs w:val="15"/>
                <w:color w:val="auto"/>
              </w:rPr>
            </w:pPr>
          </w:p>
        </w:tc>
      </w:tr>
      <w:tr>
        <w:trPr>
          <w:trHeight w:val="163"/>
        </w:trPr>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8"/>
          </w:tcPr>
          <w:p>
            <w:pPr>
              <w:jc w:val="center"/>
              <w:ind w:left="288"/>
              <w:spacing w:after="0" w:line="157" w:lineRule="exact"/>
              <w:rPr>
                <w:sz w:val="20"/>
                <w:szCs w:val="20"/>
                <w:color w:val="auto"/>
              </w:rPr>
            </w:pPr>
            <w:r>
              <w:rPr>
                <w:rFonts w:ascii="Arial" w:cs="Arial" w:eastAsia="Arial" w:hAnsi="Arial"/>
                <w:sz w:val="14"/>
                <w:szCs w:val="14"/>
                <w:b w:val="1"/>
                <w:bCs w:val="1"/>
                <w:color w:val="auto"/>
                <w:w w:val="93"/>
              </w:rPr>
              <w:t>(Unaudited 2011 - 2019)</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92"/>
              </w:rPr>
              <w:t>(Unaudited)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7"/>
        </w:trPr>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7"/>
        </w:trPr>
        <w:tc>
          <w:tcPr>
            <w:tcW w:w="5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2011</w:t>
            </w:r>
          </w:p>
        </w:tc>
        <w:tc>
          <w:tcPr>
            <w:tcW w:w="240" w:type="dxa"/>
            <w:vAlign w:val="bottom"/>
            <w:gridSpan w:val="3"/>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7,603</w:t>
            </w:r>
          </w:p>
        </w:tc>
        <w:tc>
          <w:tcPr>
            <w:tcW w:w="24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7,678</w:t>
            </w:r>
          </w:p>
        </w:tc>
        <w:tc>
          <w:tcPr>
            <w:tcW w:w="22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8,618</w:t>
            </w:r>
          </w:p>
        </w:tc>
        <w:tc>
          <w:tcPr>
            <w:tcW w:w="22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9,440</w:t>
            </w:r>
          </w:p>
        </w:tc>
        <w:tc>
          <w:tcPr>
            <w:tcW w:w="22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9,198</w:t>
            </w:r>
          </w:p>
        </w:tc>
        <w:tc>
          <w:tcPr>
            <w:tcW w:w="3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9,066</w:t>
            </w:r>
          </w:p>
        </w:tc>
        <w:tc>
          <w:tcPr>
            <w:tcW w:w="22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9,144</w:t>
            </w:r>
          </w:p>
        </w:tc>
        <w:tc>
          <w:tcPr>
            <w:tcW w:w="24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9,171</w:t>
            </w:r>
          </w:p>
        </w:tc>
        <w:tc>
          <w:tcPr>
            <w:tcW w:w="24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9,127</w:t>
            </w:r>
          </w:p>
        </w:tc>
        <w:tc>
          <w:tcPr>
            <w:tcW w:w="26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9,128</w:t>
            </w:r>
          </w:p>
        </w:tc>
        <w:tc>
          <w:tcPr>
            <w:tcW w:w="20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(1)</w:t>
            </w:r>
          </w:p>
        </w:tc>
        <w:tc>
          <w:tcPr>
            <w:tcW w:w="860" w:type="dxa"/>
            <w:vAlign w:val="bottom"/>
            <w:gridSpan w:val="3"/>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1,914</w:t>
            </w:r>
          </w:p>
        </w:tc>
        <w:tc>
          <w:tcPr>
            <w:tcW w:w="80" w:type="dxa"/>
            <w:vAlign w:val="bottom"/>
          </w:tcPr>
          <w:p>
            <w:pPr>
              <w:spacing w:after="0"/>
              <w:rPr>
                <w:sz w:val="13"/>
                <w:szCs w:val="13"/>
                <w:color w:val="auto"/>
              </w:rPr>
            </w:pPr>
          </w:p>
        </w:tc>
      </w:tr>
      <w:tr>
        <w:trPr>
          <w:trHeight w:val="157"/>
        </w:trPr>
        <w:tc>
          <w:tcPr>
            <w:tcW w:w="560" w:type="dxa"/>
            <w:vAlign w:val="bottom"/>
          </w:tcPr>
          <w:p>
            <w:pPr>
              <w:jc w:val="center"/>
              <w:spacing w:after="0" w:line="157" w:lineRule="exact"/>
              <w:rPr>
                <w:sz w:val="20"/>
                <w:szCs w:val="20"/>
                <w:color w:val="auto"/>
              </w:rPr>
            </w:pPr>
            <w:r>
              <w:rPr>
                <w:rFonts w:ascii="Arial" w:cs="Arial" w:eastAsia="Arial" w:hAnsi="Arial"/>
                <w:sz w:val="14"/>
                <w:szCs w:val="14"/>
                <w:color w:val="auto"/>
                <w:w w:val="89"/>
              </w:rPr>
              <w:t>2012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9,539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9,344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10,278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10,382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10,582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10,790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10,791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11,015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10,792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87</w:t>
            </w:r>
          </w:p>
        </w:tc>
        <w:tc>
          <w:tcPr>
            <w:tcW w:w="860" w:type="dxa"/>
            <w:vAlign w:val="bottom"/>
            <w:gridSpan w:val="3"/>
          </w:tcPr>
          <w:p>
            <w:pPr>
              <w:jc w:val="right"/>
              <w:ind w:right="80"/>
              <w:spacing w:after="0" w:line="157" w:lineRule="exact"/>
              <w:rPr>
                <w:sz w:val="20"/>
                <w:szCs w:val="20"/>
                <w:color w:val="auto"/>
              </w:rPr>
            </w:pPr>
            <w:r>
              <w:rPr>
                <w:rFonts w:ascii="Arial" w:cs="Arial" w:eastAsia="Arial" w:hAnsi="Arial"/>
                <w:sz w:val="14"/>
                <w:szCs w:val="14"/>
                <w:color w:val="auto"/>
              </w:rPr>
              <w:t>4,704</w:t>
            </w:r>
          </w:p>
        </w:tc>
        <w:tc>
          <w:tcPr>
            <w:tcW w:w="80" w:type="dxa"/>
            <w:vAlign w:val="bottom"/>
          </w:tcPr>
          <w:p>
            <w:pPr>
              <w:spacing w:after="0"/>
              <w:rPr>
                <w:sz w:val="13"/>
                <w:szCs w:val="13"/>
                <w:color w:val="auto"/>
              </w:rPr>
            </w:pPr>
          </w:p>
        </w:tc>
      </w:tr>
      <w:tr>
        <w:trPr>
          <w:trHeight w:val="157"/>
        </w:trPr>
        <w:tc>
          <w:tcPr>
            <w:tcW w:w="5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2013</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10,728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9,745</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9,424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9,621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10,061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10,089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10,607</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10,607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(12)</w:t>
            </w:r>
          </w:p>
        </w:tc>
        <w:tc>
          <w:tcPr>
            <w:tcW w:w="860" w:type="dxa"/>
            <w:vAlign w:val="bottom"/>
            <w:gridSpan w:val="3"/>
            <w:shd w:val="clear" w:color="auto" w:fill="CCEEFF"/>
          </w:tcPr>
          <w:p>
            <w:pPr>
              <w:jc w:val="right"/>
              <w:spacing w:after="0" w:line="157" w:lineRule="exact"/>
              <w:rPr>
                <w:sz w:val="20"/>
                <w:szCs w:val="20"/>
                <w:color w:val="auto"/>
              </w:rPr>
            </w:pPr>
            <w:r>
              <w:rPr>
                <w:rFonts w:ascii="Arial" w:cs="Arial" w:eastAsia="Arial" w:hAnsi="Arial"/>
                <w:sz w:val="14"/>
                <w:szCs w:val="14"/>
                <w:color w:val="auto"/>
              </w:rPr>
              <w:t>1,561(1)</w:t>
            </w:r>
          </w:p>
        </w:tc>
        <w:tc>
          <w:tcPr>
            <w:tcW w:w="80" w:type="dxa"/>
            <w:vAlign w:val="bottom"/>
          </w:tcPr>
          <w:p>
            <w:pPr>
              <w:spacing w:after="0"/>
              <w:rPr>
                <w:sz w:val="13"/>
                <w:szCs w:val="13"/>
                <w:color w:val="auto"/>
              </w:rPr>
            </w:pPr>
          </w:p>
        </w:tc>
      </w:tr>
      <w:tr>
        <w:trPr>
          <w:trHeight w:val="157"/>
        </w:trPr>
        <w:tc>
          <w:tcPr>
            <w:tcW w:w="560" w:type="dxa"/>
            <w:vAlign w:val="bottom"/>
          </w:tcPr>
          <w:p>
            <w:pPr>
              <w:jc w:val="center"/>
              <w:spacing w:after="0" w:line="157" w:lineRule="exact"/>
              <w:rPr>
                <w:sz w:val="20"/>
                <w:szCs w:val="20"/>
                <w:color w:val="auto"/>
              </w:rPr>
            </w:pPr>
            <w:r>
              <w:rPr>
                <w:rFonts w:ascii="Arial" w:cs="Arial" w:eastAsia="Arial" w:hAnsi="Arial"/>
                <w:sz w:val="14"/>
                <w:szCs w:val="14"/>
                <w:color w:val="auto"/>
                <w:w w:val="89"/>
              </w:rPr>
              <w:t>2014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14,193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14,260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14,218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14,564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15,023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16,381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16,376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289</w:t>
            </w:r>
          </w:p>
        </w:tc>
        <w:tc>
          <w:tcPr>
            <w:tcW w:w="860" w:type="dxa"/>
            <w:vAlign w:val="bottom"/>
            <w:gridSpan w:val="3"/>
          </w:tcPr>
          <w:p>
            <w:pPr>
              <w:jc w:val="right"/>
              <w:ind w:right="80"/>
              <w:spacing w:after="0" w:line="157" w:lineRule="exact"/>
              <w:rPr>
                <w:sz w:val="20"/>
                <w:szCs w:val="20"/>
                <w:color w:val="auto"/>
              </w:rPr>
            </w:pPr>
            <w:r>
              <w:rPr>
                <w:rFonts w:ascii="Arial" w:cs="Arial" w:eastAsia="Arial" w:hAnsi="Arial"/>
                <w:sz w:val="14"/>
                <w:szCs w:val="14"/>
                <w:color w:val="auto"/>
              </w:rPr>
              <w:t>2,136</w:t>
            </w:r>
          </w:p>
        </w:tc>
        <w:tc>
          <w:tcPr>
            <w:tcW w:w="80" w:type="dxa"/>
            <w:vAlign w:val="bottom"/>
          </w:tcPr>
          <w:p>
            <w:pPr>
              <w:spacing w:after="0"/>
              <w:rPr>
                <w:sz w:val="13"/>
                <w:szCs w:val="13"/>
                <w:color w:val="auto"/>
              </w:rPr>
            </w:pPr>
          </w:p>
        </w:tc>
      </w:tr>
      <w:tr>
        <w:trPr>
          <w:trHeight w:val="157"/>
        </w:trPr>
        <w:tc>
          <w:tcPr>
            <w:tcW w:w="5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2015</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22,340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21,994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22,148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22,491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23,386</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23,042</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154</w:t>
            </w:r>
          </w:p>
        </w:tc>
        <w:tc>
          <w:tcPr>
            <w:tcW w:w="860" w:type="dxa"/>
            <w:vAlign w:val="bottom"/>
            <w:gridSpan w:val="3"/>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2,555</w:t>
            </w:r>
          </w:p>
        </w:tc>
        <w:tc>
          <w:tcPr>
            <w:tcW w:w="80" w:type="dxa"/>
            <w:vAlign w:val="bottom"/>
          </w:tcPr>
          <w:p>
            <w:pPr>
              <w:spacing w:after="0"/>
              <w:rPr>
                <w:sz w:val="13"/>
                <w:szCs w:val="13"/>
                <w:color w:val="auto"/>
              </w:rPr>
            </w:pPr>
          </w:p>
        </w:tc>
      </w:tr>
      <w:tr>
        <w:trPr>
          <w:trHeight w:val="157"/>
        </w:trPr>
        <w:tc>
          <w:tcPr>
            <w:tcW w:w="560" w:type="dxa"/>
            <w:vAlign w:val="bottom"/>
          </w:tcPr>
          <w:p>
            <w:pPr>
              <w:jc w:val="center"/>
              <w:spacing w:after="0" w:line="157" w:lineRule="exact"/>
              <w:rPr>
                <w:sz w:val="20"/>
                <w:szCs w:val="20"/>
                <w:color w:val="auto"/>
              </w:rPr>
            </w:pPr>
            <w:r>
              <w:rPr>
                <w:rFonts w:ascii="Arial" w:cs="Arial" w:eastAsia="Arial" w:hAnsi="Arial"/>
                <w:sz w:val="14"/>
                <w:szCs w:val="14"/>
                <w:color w:val="auto"/>
                <w:w w:val="89"/>
              </w:rPr>
              <w:t>2016</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26,062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24,941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24,789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27,887</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27,961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538</w:t>
            </w:r>
          </w:p>
        </w:tc>
        <w:tc>
          <w:tcPr>
            <w:tcW w:w="860" w:type="dxa"/>
            <w:vAlign w:val="bottom"/>
            <w:gridSpan w:val="3"/>
          </w:tcPr>
          <w:p>
            <w:pPr>
              <w:jc w:val="right"/>
              <w:ind w:right="80"/>
              <w:spacing w:after="0" w:line="157" w:lineRule="exact"/>
              <w:rPr>
                <w:sz w:val="20"/>
                <w:szCs w:val="20"/>
                <w:color w:val="auto"/>
              </w:rPr>
            </w:pPr>
            <w:r>
              <w:rPr>
                <w:rFonts w:ascii="Arial" w:cs="Arial" w:eastAsia="Arial" w:hAnsi="Arial"/>
                <w:sz w:val="14"/>
                <w:szCs w:val="14"/>
                <w:color w:val="auto"/>
              </w:rPr>
              <w:t>2,877</w:t>
            </w:r>
          </w:p>
        </w:tc>
        <w:tc>
          <w:tcPr>
            <w:tcW w:w="80" w:type="dxa"/>
            <w:vAlign w:val="bottom"/>
          </w:tcPr>
          <w:p>
            <w:pPr>
              <w:spacing w:after="0"/>
              <w:rPr>
                <w:sz w:val="13"/>
                <w:szCs w:val="13"/>
                <w:color w:val="auto"/>
              </w:rPr>
            </w:pPr>
          </w:p>
        </w:tc>
      </w:tr>
      <w:tr>
        <w:trPr>
          <w:trHeight w:val="157"/>
        </w:trPr>
        <w:tc>
          <w:tcPr>
            <w:tcW w:w="5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2017</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31,605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32,169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35,304</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35,873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631</w:t>
            </w:r>
          </w:p>
        </w:tc>
        <w:tc>
          <w:tcPr>
            <w:tcW w:w="860" w:type="dxa"/>
            <w:vAlign w:val="bottom"/>
            <w:gridSpan w:val="3"/>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3,380</w:t>
            </w:r>
          </w:p>
        </w:tc>
        <w:tc>
          <w:tcPr>
            <w:tcW w:w="80" w:type="dxa"/>
            <w:vAlign w:val="bottom"/>
          </w:tcPr>
          <w:p>
            <w:pPr>
              <w:spacing w:after="0"/>
              <w:rPr>
                <w:sz w:val="13"/>
                <w:szCs w:val="13"/>
                <w:color w:val="auto"/>
              </w:rPr>
            </w:pPr>
          </w:p>
        </w:tc>
      </w:tr>
      <w:tr>
        <w:trPr>
          <w:trHeight w:val="157"/>
        </w:trPr>
        <w:tc>
          <w:tcPr>
            <w:tcW w:w="560" w:type="dxa"/>
            <w:vAlign w:val="bottom"/>
          </w:tcPr>
          <w:p>
            <w:pPr>
              <w:jc w:val="center"/>
              <w:spacing w:after="0" w:line="157" w:lineRule="exact"/>
              <w:rPr>
                <w:sz w:val="20"/>
                <w:szCs w:val="20"/>
                <w:color w:val="auto"/>
              </w:rPr>
            </w:pPr>
            <w:r>
              <w:rPr>
                <w:rFonts w:ascii="Arial" w:cs="Arial" w:eastAsia="Arial" w:hAnsi="Arial"/>
                <w:sz w:val="14"/>
                <w:szCs w:val="14"/>
                <w:color w:val="auto"/>
                <w:w w:val="89"/>
              </w:rPr>
              <w:t>2018</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54,455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56,351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58,073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2,391</w:t>
            </w:r>
          </w:p>
        </w:tc>
        <w:tc>
          <w:tcPr>
            <w:tcW w:w="860" w:type="dxa"/>
            <w:vAlign w:val="bottom"/>
            <w:gridSpan w:val="3"/>
          </w:tcPr>
          <w:p>
            <w:pPr>
              <w:jc w:val="right"/>
              <w:ind w:right="80"/>
              <w:spacing w:after="0" w:line="157" w:lineRule="exact"/>
              <w:rPr>
                <w:sz w:val="20"/>
                <w:szCs w:val="20"/>
                <w:color w:val="auto"/>
              </w:rPr>
            </w:pPr>
            <w:r>
              <w:rPr>
                <w:rFonts w:ascii="Arial" w:cs="Arial" w:eastAsia="Arial" w:hAnsi="Arial"/>
                <w:sz w:val="14"/>
                <w:szCs w:val="14"/>
                <w:color w:val="auto"/>
              </w:rPr>
              <w:t>4,188</w:t>
            </w:r>
          </w:p>
        </w:tc>
        <w:tc>
          <w:tcPr>
            <w:tcW w:w="80" w:type="dxa"/>
            <w:vAlign w:val="bottom"/>
          </w:tcPr>
          <w:p>
            <w:pPr>
              <w:spacing w:after="0"/>
              <w:rPr>
                <w:sz w:val="13"/>
                <w:szCs w:val="13"/>
                <w:color w:val="auto"/>
              </w:rPr>
            </w:pPr>
          </w:p>
        </w:tc>
      </w:tr>
      <w:tr>
        <w:trPr>
          <w:trHeight w:val="157"/>
        </w:trPr>
        <w:tc>
          <w:tcPr>
            <w:tcW w:w="5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2019</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75,092</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73,173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12,027</w:t>
            </w:r>
          </w:p>
        </w:tc>
        <w:tc>
          <w:tcPr>
            <w:tcW w:w="860" w:type="dxa"/>
            <w:vAlign w:val="bottom"/>
            <w:gridSpan w:val="3"/>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4,365</w:t>
            </w:r>
          </w:p>
        </w:tc>
        <w:tc>
          <w:tcPr>
            <w:tcW w:w="80" w:type="dxa"/>
            <w:vAlign w:val="bottom"/>
          </w:tcPr>
          <w:p>
            <w:pPr>
              <w:spacing w:after="0"/>
              <w:rPr>
                <w:sz w:val="13"/>
                <w:szCs w:val="13"/>
                <w:color w:val="auto"/>
              </w:rPr>
            </w:pPr>
          </w:p>
        </w:tc>
      </w:tr>
      <w:tr>
        <w:trPr>
          <w:trHeight w:val="163"/>
        </w:trPr>
        <w:tc>
          <w:tcPr>
            <w:tcW w:w="560" w:type="dxa"/>
            <w:vAlign w:val="bottom"/>
          </w:tcPr>
          <w:p>
            <w:pPr>
              <w:jc w:val="center"/>
              <w:spacing w:after="0" w:line="157" w:lineRule="exact"/>
              <w:rPr>
                <w:sz w:val="20"/>
                <w:szCs w:val="20"/>
                <w:color w:val="auto"/>
              </w:rPr>
            </w:pPr>
            <w:r>
              <w:rPr>
                <w:rFonts w:ascii="Arial" w:cs="Arial" w:eastAsia="Arial" w:hAnsi="Arial"/>
                <w:sz w:val="14"/>
                <w:szCs w:val="14"/>
                <w:color w:val="auto"/>
                <w:w w:val="89"/>
              </w:rPr>
              <w:t>2020</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15,760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6,202</w:t>
            </w:r>
          </w:p>
        </w:tc>
        <w:tc>
          <w:tcPr>
            <w:tcW w:w="860" w:type="dxa"/>
            <w:vAlign w:val="bottom"/>
            <w:gridSpan w:val="3"/>
          </w:tcPr>
          <w:p>
            <w:pPr>
              <w:jc w:val="right"/>
              <w:ind w:right="80"/>
              <w:spacing w:after="0" w:line="157" w:lineRule="exact"/>
              <w:rPr>
                <w:sz w:val="20"/>
                <w:szCs w:val="20"/>
                <w:color w:val="auto"/>
              </w:rPr>
            </w:pPr>
            <w:r>
              <w:rPr>
                <w:rFonts w:ascii="Arial" w:cs="Arial" w:eastAsia="Arial" w:hAnsi="Arial"/>
                <w:sz w:val="14"/>
                <w:szCs w:val="14"/>
                <w:color w:val="auto"/>
              </w:rPr>
              <w:t>731</w:t>
            </w:r>
          </w:p>
        </w:tc>
        <w:tc>
          <w:tcPr>
            <w:tcW w:w="80" w:type="dxa"/>
            <w:vAlign w:val="bottom"/>
          </w:tcPr>
          <w:p>
            <w:pPr>
              <w:spacing w:after="0"/>
              <w:rPr>
                <w:sz w:val="14"/>
                <w:szCs w:val="14"/>
                <w:color w:val="auto"/>
              </w:rPr>
            </w:pPr>
          </w:p>
        </w:tc>
      </w:tr>
      <w:tr>
        <w:trPr>
          <w:trHeight w:val="163"/>
        </w:trPr>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gridSpan w:val="2"/>
            <w:shd w:val="clear" w:color="auto" w:fill="CCEEFF"/>
          </w:tcPr>
          <w:p>
            <w:pPr>
              <w:ind w:left="80"/>
              <w:spacing w:after="0" w:line="157" w:lineRule="exact"/>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280,784</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Pr>
          <w:p>
            <w:pPr>
              <w:spacing w:after="0"/>
              <w:rPr>
                <w:sz w:val="14"/>
                <w:szCs w:val="14"/>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(1) Reported claims for accident year 2012 includes 3,406 claims from Superstorm Sandy.</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All Lines of Business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 thousands)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320" w:type="dxa"/>
            <w:vAlign w:val="bottom"/>
            <w:tcBorders>
              <w:bottom w:val="single" w:sz="8" w:color="auto"/>
            </w:tcBorders>
            <w:gridSpan w:val="24"/>
          </w:tcPr>
          <w:p>
            <w:pPr>
              <w:ind w:left="80"/>
              <w:spacing w:after="0"/>
              <w:rPr>
                <w:sz w:val="20"/>
                <w:szCs w:val="20"/>
                <w:color w:val="auto"/>
              </w:rPr>
            </w:pPr>
            <w:r>
              <w:rPr>
                <w:rFonts w:ascii="Arial" w:cs="Arial" w:eastAsia="Arial" w:hAnsi="Arial"/>
                <w:sz w:val="14"/>
                <w:szCs w:val="14"/>
                <w:b w:val="1"/>
                <w:bCs w:val="1"/>
                <w:color w:val="auto"/>
                <w:w w:val="92"/>
              </w:rPr>
              <w:t>Cumulative Paid Loss and Allocated Loss Adjustment Expenses, Net of Reinsurance</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28"/>
              <w:spacing w:after="0" w:line="143" w:lineRule="exact"/>
              <w:rPr>
                <w:sz w:val="20"/>
                <w:szCs w:val="20"/>
                <w:color w:val="auto"/>
              </w:rPr>
            </w:pPr>
            <w:r>
              <w:rPr>
                <w:rFonts w:ascii="Arial" w:cs="Arial" w:eastAsia="Arial" w:hAnsi="Arial"/>
                <w:sz w:val="14"/>
                <w:szCs w:val="14"/>
                <w:b w:val="1"/>
                <w:bCs w:val="1"/>
                <w:color w:val="auto"/>
                <w:w w:val="92"/>
              </w:rPr>
              <w:t>For the</w:t>
            </w:r>
          </w:p>
        </w:tc>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80" w:type="dxa"/>
            <w:vAlign w:val="bottom"/>
            <w:gridSpan w:val="3"/>
          </w:tcPr>
          <w:p>
            <w:pPr>
              <w:jc w:val="center"/>
              <w:ind w:right="1960"/>
              <w:spacing w:after="0" w:line="157" w:lineRule="exact"/>
              <w:rPr>
                <w:sz w:val="20"/>
                <w:szCs w:val="20"/>
                <w:color w:val="auto"/>
              </w:rPr>
            </w:pPr>
            <w:r>
              <w:rPr>
                <w:rFonts w:ascii="Arial" w:cs="Arial" w:eastAsia="Arial" w:hAnsi="Arial"/>
                <w:sz w:val="14"/>
                <w:szCs w:val="14"/>
                <w:b w:val="1"/>
                <w:bCs w:val="1"/>
                <w:color w:val="auto"/>
                <w:w w:val="93"/>
              </w:rPr>
              <w:t>three</w:t>
            </w:r>
          </w:p>
        </w:tc>
        <w:tc>
          <w:tcPr>
            <w:tcW w:w="0" w:type="dxa"/>
            <w:vAlign w:val="bottom"/>
          </w:tcPr>
          <w:p>
            <w:pPr>
              <w:spacing w:after="0"/>
              <w:rPr>
                <w:sz w:val="1"/>
                <w:szCs w:val="1"/>
                <w:color w:val="auto"/>
              </w:rPr>
            </w:pPr>
          </w:p>
        </w:tc>
      </w:tr>
      <w:tr>
        <w:trPr>
          <w:trHeight w:val="157"/>
        </w:trPr>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80" w:type="dxa"/>
            <w:vAlign w:val="bottom"/>
            <w:gridSpan w:val="3"/>
          </w:tcPr>
          <w:p>
            <w:pPr>
              <w:jc w:val="center"/>
              <w:ind w:right="1880"/>
              <w:spacing w:after="0" w:line="157" w:lineRule="exact"/>
              <w:rPr>
                <w:sz w:val="20"/>
                <w:szCs w:val="20"/>
                <w:color w:val="auto"/>
              </w:rPr>
            </w:pPr>
            <w:r>
              <w:rPr>
                <w:rFonts w:ascii="Arial" w:cs="Arial" w:eastAsia="Arial" w:hAnsi="Arial"/>
                <w:sz w:val="14"/>
                <w:szCs w:val="14"/>
                <w:b w:val="1"/>
                <w:bCs w:val="1"/>
                <w:color w:val="auto"/>
                <w:w w:val="86"/>
              </w:rPr>
              <w:t>months</w:t>
            </w:r>
          </w:p>
        </w:tc>
        <w:tc>
          <w:tcPr>
            <w:tcW w:w="0" w:type="dxa"/>
            <w:vAlign w:val="bottom"/>
          </w:tcPr>
          <w:p>
            <w:pPr>
              <w:spacing w:after="0"/>
              <w:rPr>
                <w:sz w:val="1"/>
                <w:szCs w:val="1"/>
                <w:color w:val="auto"/>
              </w:rPr>
            </w:pPr>
          </w:p>
        </w:tc>
      </w:tr>
      <w:tr>
        <w:trPr>
          <w:trHeight w:val="157"/>
        </w:trPr>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40" w:type="dxa"/>
            <w:vAlign w:val="bottom"/>
            <w:gridSpan w:val="10"/>
          </w:tcPr>
          <w:p>
            <w:pPr>
              <w:jc w:val="right"/>
              <w:ind w:right="120"/>
              <w:spacing w:after="0" w:line="157" w:lineRule="exact"/>
              <w:rPr>
                <w:sz w:val="20"/>
                <w:szCs w:val="20"/>
                <w:color w:val="auto"/>
              </w:rPr>
            </w:pPr>
            <w:r>
              <w:rPr>
                <w:rFonts w:ascii="Arial" w:cs="Arial" w:eastAsia="Arial" w:hAnsi="Arial"/>
                <w:sz w:val="14"/>
                <w:szCs w:val="14"/>
                <w:b w:val="1"/>
                <w:bCs w:val="1"/>
                <w:color w:val="auto"/>
                <w:w w:val="99"/>
              </w:rPr>
              <w:t>For the Years Ended December 31,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80" w:type="dxa"/>
            <w:vAlign w:val="bottom"/>
            <w:gridSpan w:val="3"/>
          </w:tcPr>
          <w:p>
            <w:pPr>
              <w:jc w:val="center"/>
              <w:ind w:right="1960"/>
              <w:spacing w:after="0" w:line="157"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57"/>
        </w:trPr>
        <w:tc>
          <w:tcPr>
            <w:tcW w:w="5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1"/>
              </w:rPr>
              <w:t>Accident</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80" w:type="dxa"/>
            <w:vAlign w:val="bottom"/>
            <w:gridSpan w:val="3"/>
          </w:tcPr>
          <w:p>
            <w:pPr>
              <w:jc w:val="center"/>
              <w:ind w:right="1880"/>
              <w:spacing w:after="0" w:line="157" w:lineRule="exact"/>
              <w:rPr>
                <w:sz w:val="20"/>
                <w:szCs w:val="20"/>
                <w:color w:val="auto"/>
              </w:rPr>
            </w:pPr>
            <w:r>
              <w:rPr>
                <w:rFonts w:ascii="Arial" w:cs="Arial" w:eastAsia="Arial" w:hAnsi="Arial"/>
                <w:sz w:val="14"/>
                <w:szCs w:val="14"/>
                <w:b w:val="1"/>
                <w:bCs w:val="1"/>
                <w:color w:val="auto"/>
                <w:w w:val="96"/>
              </w:rPr>
              <w:t>March</w:t>
            </w:r>
          </w:p>
        </w:tc>
        <w:tc>
          <w:tcPr>
            <w:tcW w:w="0" w:type="dxa"/>
            <w:vAlign w:val="bottom"/>
          </w:tcPr>
          <w:p>
            <w:pPr>
              <w:spacing w:after="0"/>
              <w:rPr>
                <w:sz w:val="1"/>
                <w:szCs w:val="1"/>
                <w:color w:val="auto"/>
              </w:rPr>
            </w:pPr>
          </w:p>
        </w:tc>
      </w:tr>
      <w:tr>
        <w:trPr>
          <w:trHeight w:val="176"/>
        </w:trPr>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31, 2020</w:t>
            </w:r>
          </w:p>
        </w:tc>
        <w:tc>
          <w:tcPr>
            <w:tcW w:w="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gridSpan w:val="4"/>
          </w:tcPr>
          <w:p>
            <w:pPr>
              <w:jc w:val="right"/>
              <w:spacing w:after="0" w:line="157" w:lineRule="exact"/>
              <w:rPr>
                <w:sz w:val="20"/>
                <w:szCs w:val="20"/>
                <w:color w:val="auto"/>
              </w:rPr>
            </w:pPr>
            <w:r>
              <w:rPr>
                <w:rFonts w:ascii="Arial" w:cs="Arial" w:eastAsia="Arial" w:hAnsi="Arial"/>
                <w:sz w:val="14"/>
                <w:szCs w:val="14"/>
                <w:b w:val="1"/>
                <w:bCs w:val="1"/>
                <w:color w:val="auto"/>
                <w:w w:val="77"/>
              </w:rPr>
              <w:t>(Unaudited 2011</w:t>
            </w:r>
          </w:p>
        </w:tc>
        <w:tc>
          <w:tcPr>
            <w:tcW w:w="880" w:type="dxa"/>
            <w:vAlign w:val="bottom"/>
            <w:gridSpan w:val="4"/>
          </w:tcPr>
          <w:p>
            <w:pPr>
              <w:jc w:val="right"/>
              <w:ind w:right="388"/>
              <w:spacing w:after="0" w:line="157" w:lineRule="exact"/>
              <w:rPr>
                <w:sz w:val="20"/>
                <w:szCs w:val="20"/>
                <w:color w:val="auto"/>
              </w:rPr>
            </w:pPr>
            <w:r>
              <w:rPr>
                <w:rFonts w:ascii="Arial" w:cs="Arial" w:eastAsia="Arial" w:hAnsi="Arial"/>
                <w:sz w:val="14"/>
                <w:szCs w:val="14"/>
                <w:b w:val="1"/>
                <w:bCs w:val="1"/>
                <w:color w:val="auto"/>
                <w:w w:val="90"/>
              </w:rPr>
              <w:t>- 2019)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60" w:type="dxa"/>
            <w:vAlign w:val="bottom"/>
            <w:gridSpan w:val="4"/>
          </w:tcPr>
          <w:p>
            <w:pPr>
              <w:spacing w:after="0" w:line="157" w:lineRule="exact"/>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157"/>
        </w:trPr>
        <w:tc>
          <w:tcPr>
            <w:tcW w:w="56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 w:type="dxa"/>
            <w:vAlign w:val="bottom"/>
          </w:tcPr>
          <w:p>
            <w:pPr>
              <w:jc w:val="center"/>
              <w:spacing w:after="0" w:line="157" w:lineRule="exact"/>
              <w:rPr>
                <w:sz w:val="20"/>
                <w:szCs w:val="20"/>
                <w:color w:val="auto"/>
              </w:rPr>
            </w:pPr>
            <w:r>
              <w:rPr>
                <w:rFonts w:ascii="Arial" w:cs="Arial" w:eastAsia="Arial" w:hAnsi="Arial"/>
                <w:sz w:val="14"/>
                <w:szCs w:val="14"/>
                <w:color w:val="auto"/>
                <w:w w:val="89"/>
              </w:rPr>
              <w:t>2011</w:t>
            </w:r>
          </w:p>
        </w:tc>
        <w:tc>
          <w:tcPr>
            <w:tcW w:w="24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3,740</w:t>
            </w:r>
          </w:p>
        </w:tc>
        <w:tc>
          <w:tcPr>
            <w:tcW w:w="24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5,117</w:t>
            </w:r>
          </w:p>
        </w:tc>
        <w:tc>
          <w:tcPr>
            <w:tcW w:w="22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6,228</w:t>
            </w:r>
          </w:p>
        </w:tc>
        <w:tc>
          <w:tcPr>
            <w:tcW w:w="24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7,170</w:t>
            </w:r>
          </w:p>
        </w:tc>
        <w:tc>
          <w:tcPr>
            <w:tcW w:w="28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
              <w:spacing w:after="0" w:line="157" w:lineRule="exact"/>
              <w:rPr>
                <w:sz w:val="20"/>
                <w:szCs w:val="20"/>
                <w:color w:val="auto"/>
              </w:rPr>
            </w:pPr>
            <w:r>
              <w:rPr>
                <w:rFonts w:ascii="Arial" w:cs="Arial" w:eastAsia="Arial" w:hAnsi="Arial"/>
                <w:sz w:val="14"/>
                <w:szCs w:val="14"/>
                <w:color w:val="auto"/>
              </w:rPr>
              <w:t>8,139</w:t>
            </w:r>
          </w:p>
        </w:tc>
        <w:tc>
          <w:tcPr>
            <w:tcW w:w="20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8,540</w:t>
            </w:r>
          </w:p>
        </w:tc>
        <w:tc>
          <w:tcPr>
            <w:tcW w:w="22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8,702</w:t>
            </w:r>
          </w:p>
        </w:tc>
        <w:tc>
          <w:tcPr>
            <w:tcW w:w="24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8,727</w:t>
            </w:r>
          </w:p>
        </w:tc>
        <w:tc>
          <w:tcPr>
            <w:tcW w:w="24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8,789</w:t>
            </w:r>
          </w:p>
        </w:tc>
        <w:tc>
          <w:tcPr>
            <w:tcW w:w="80" w:type="dxa"/>
            <w:vAlign w:val="bottom"/>
          </w:tcPr>
          <w:p>
            <w:pPr>
              <w:spacing w:after="0"/>
              <w:rPr>
                <w:sz w:val="13"/>
                <w:szCs w:val="13"/>
                <w:color w:val="auto"/>
              </w:rPr>
            </w:pPr>
          </w:p>
        </w:tc>
        <w:tc>
          <w:tcPr>
            <w:tcW w:w="100" w:type="dxa"/>
            <w:vAlign w:val="bottom"/>
            <w:gridSpan w:val="2"/>
          </w:tcPr>
          <w:p>
            <w:pPr>
              <w:spacing w:after="0" w:line="157"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8,991</w:t>
            </w: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2012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3,950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5,770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7,127</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8,196</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9,187</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10,236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10,323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10,428</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10,442</w:t>
            </w:r>
          </w:p>
        </w:tc>
        <w:tc>
          <w:tcPr>
            <w:tcW w:w="1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 w:type="dxa"/>
            <w:vAlign w:val="bottom"/>
          </w:tcPr>
          <w:p>
            <w:pPr>
              <w:jc w:val="center"/>
              <w:spacing w:after="0" w:line="157" w:lineRule="exact"/>
              <w:rPr>
                <w:sz w:val="20"/>
                <w:szCs w:val="20"/>
                <w:color w:val="auto"/>
              </w:rPr>
            </w:pPr>
            <w:r>
              <w:rPr>
                <w:rFonts w:ascii="Arial" w:cs="Arial" w:eastAsia="Arial" w:hAnsi="Arial"/>
                <w:sz w:val="14"/>
                <w:szCs w:val="14"/>
                <w:color w:val="auto"/>
                <w:w w:val="89"/>
              </w:rPr>
              <w:t>2013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3,405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5,303</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8"/>
              <w:spacing w:after="0" w:line="157" w:lineRule="exact"/>
              <w:rPr>
                <w:sz w:val="20"/>
                <w:szCs w:val="20"/>
                <w:color w:val="auto"/>
              </w:rPr>
            </w:pPr>
            <w:r>
              <w:rPr>
                <w:rFonts w:ascii="Arial" w:cs="Arial" w:eastAsia="Arial" w:hAnsi="Arial"/>
                <w:sz w:val="14"/>
                <w:szCs w:val="14"/>
                <w:color w:val="auto"/>
              </w:rPr>
              <w:t>6,633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7,591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8,407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9,056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9,717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9,728</w:t>
            </w: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2014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5,710</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
              <w:spacing w:after="0" w:line="157" w:lineRule="exact"/>
              <w:rPr>
                <w:sz w:val="20"/>
                <w:szCs w:val="20"/>
                <w:color w:val="auto"/>
              </w:rPr>
            </w:pPr>
            <w:r>
              <w:rPr>
                <w:rFonts w:ascii="Arial" w:cs="Arial" w:eastAsia="Arial" w:hAnsi="Arial"/>
                <w:sz w:val="14"/>
                <w:szCs w:val="14"/>
                <w:color w:val="auto"/>
              </w:rPr>
              <w:t>9,429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10,738</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11,770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13,819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14,901</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15,150</w:t>
            </w:r>
          </w:p>
        </w:tc>
        <w:tc>
          <w:tcPr>
            <w:tcW w:w="1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 w:type="dxa"/>
            <w:vAlign w:val="bottom"/>
          </w:tcPr>
          <w:p>
            <w:pPr>
              <w:jc w:val="center"/>
              <w:spacing w:after="0" w:line="157" w:lineRule="exact"/>
              <w:rPr>
                <w:sz w:val="20"/>
                <w:szCs w:val="20"/>
                <w:color w:val="auto"/>
              </w:rPr>
            </w:pPr>
            <w:r>
              <w:rPr>
                <w:rFonts w:ascii="Arial" w:cs="Arial" w:eastAsia="Arial" w:hAnsi="Arial"/>
                <w:sz w:val="14"/>
                <w:szCs w:val="14"/>
                <w:color w:val="auto"/>
                <w:w w:val="89"/>
              </w:rPr>
              <w:t>2015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8"/>
              <w:spacing w:after="0" w:line="157" w:lineRule="exact"/>
              <w:rPr>
                <w:sz w:val="20"/>
                <w:szCs w:val="20"/>
                <w:color w:val="auto"/>
              </w:rPr>
            </w:pPr>
            <w:r>
              <w:rPr>
                <w:rFonts w:ascii="Arial" w:cs="Arial" w:eastAsia="Arial" w:hAnsi="Arial"/>
                <w:sz w:val="14"/>
                <w:szCs w:val="14"/>
                <w:color w:val="auto"/>
              </w:rPr>
              <w:t>12,295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16,181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18,266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19,984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21,067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21,448</w:t>
            </w: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2016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15,364</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19,001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21,106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23,974</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24,371</w:t>
            </w:r>
          </w:p>
        </w:tc>
        <w:tc>
          <w:tcPr>
            <w:tcW w:w="1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 w:type="dxa"/>
            <w:vAlign w:val="bottom"/>
          </w:tcPr>
          <w:p>
            <w:pPr>
              <w:jc w:val="center"/>
              <w:spacing w:after="0" w:line="157" w:lineRule="exact"/>
              <w:rPr>
                <w:sz w:val="20"/>
                <w:szCs w:val="20"/>
                <w:color w:val="auto"/>
              </w:rPr>
            </w:pPr>
            <w:r>
              <w:rPr>
                <w:rFonts w:ascii="Arial" w:cs="Arial" w:eastAsia="Arial" w:hAnsi="Arial"/>
                <w:sz w:val="14"/>
                <w:szCs w:val="14"/>
                <w:color w:val="auto"/>
                <w:w w:val="89"/>
              </w:rPr>
              <w:t>2017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16,704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24,820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28,693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28,969</w:t>
            </w: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2018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32,383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44,516</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46,178</w:t>
            </w:r>
          </w:p>
        </w:tc>
        <w:tc>
          <w:tcPr>
            <w:tcW w:w="1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 w:type="dxa"/>
            <w:vAlign w:val="bottom"/>
          </w:tcPr>
          <w:p>
            <w:pPr>
              <w:jc w:val="center"/>
              <w:spacing w:after="0" w:line="157" w:lineRule="exact"/>
              <w:rPr>
                <w:sz w:val="20"/>
                <w:szCs w:val="20"/>
                <w:color w:val="auto"/>
              </w:rPr>
            </w:pPr>
            <w:r>
              <w:rPr>
                <w:rFonts w:ascii="Arial" w:cs="Arial" w:eastAsia="Arial" w:hAnsi="Arial"/>
                <w:sz w:val="14"/>
                <w:szCs w:val="14"/>
                <w:color w:val="auto"/>
                <w:w w:val="89"/>
              </w:rPr>
              <w:t>2019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40,933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50,983</w:t>
            </w: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560" w:type="dxa"/>
            <w:vAlign w:val="bottom"/>
            <w:tcBorders>
              <w:bottom w:val="single" w:sz="8" w:color="CCEEFF"/>
            </w:tcBorders>
            <w:shd w:val="clear" w:color="auto" w:fill="CCEEFF"/>
          </w:tcPr>
          <w:p>
            <w:pPr>
              <w:jc w:val="center"/>
              <w:spacing w:after="0" w:line="157" w:lineRule="exact"/>
              <w:rPr>
                <w:sz w:val="20"/>
                <w:szCs w:val="20"/>
                <w:color w:val="auto"/>
              </w:rPr>
            </w:pPr>
            <w:r>
              <w:rPr>
                <w:rFonts w:ascii="Arial" w:cs="Arial" w:eastAsia="Arial" w:hAnsi="Arial"/>
                <w:sz w:val="14"/>
                <w:szCs w:val="14"/>
                <w:color w:val="auto"/>
                <w:w w:val="89"/>
              </w:rPr>
              <w:t>2020</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5,469</w:t>
            </w:r>
          </w:p>
        </w:tc>
        <w:tc>
          <w:tcPr>
            <w:tcW w:w="20" w:type="dxa"/>
            <w:vAlign w:val="bottom"/>
            <w:tcBorders>
              <w:bottom w:val="single" w:sz="8" w:color="CCEEFF"/>
            </w:tcBorders>
            <w:shd w:val="clear" w:color="auto" w:fill="CCEEFF"/>
          </w:tcPr>
          <w:p>
            <w:pPr>
              <w:spacing w:after="0"/>
              <w:rPr>
                <w:sz w:val="14"/>
                <w:szCs w:val="14"/>
                <w:color w:val="auto"/>
              </w:rPr>
            </w:pPr>
          </w:p>
        </w:tc>
        <w:tc>
          <w:tcPr>
            <w:tcW w:w="18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tcPr>
          <w:p>
            <w:pPr>
              <w:ind w:left="60"/>
              <w:spacing w:after="0" w:line="157" w:lineRule="exact"/>
              <w:rPr>
                <w:sz w:val="20"/>
                <w:szCs w:val="20"/>
                <w:color w:val="auto"/>
              </w:rPr>
            </w:pPr>
            <w:r>
              <w:rPr>
                <w:rFonts w:ascii="Arial" w:cs="Arial" w:eastAsia="Arial" w:hAnsi="Arial"/>
                <w:sz w:val="14"/>
                <w:szCs w:val="14"/>
                <w:b w:val="1"/>
                <w:bCs w:val="1"/>
                <w:color w:val="auto"/>
              </w:rPr>
              <w:t>Total</w:t>
            </w:r>
          </w:p>
        </w:tc>
        <w:tc>
          <w:tcPr>
            <w:tcW w:w="100" w:type="dxa"/>
            <w:vAlign w:val="bottom"/>
            <w:gridSpan w:val="2"/>
          </w:tcPr>
          <w:p>
            <w:pPr>
              <w:spacing w:after="0" w:line="157"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221,729</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80" w:type="dxa"/>
            <w:vAlign w:val="bottom"/>
            <w:gridSpan w:val="2"/>
            <w:shd w:val="clear" w:color="auto" w:fill="CCEEFF"/>
          </w:tcPr>
          <w:p>
            <w:pPr>
              <w:spacing w:after="0"/>
              <w:rPr>
                <w:sz w:val="13"/>
                <w:szCs w:val="13"/>
                <w:color w:val="auto"/>
              </w:rPr>
            </w:pPr>
          </w:p>
        </w:tc>
        <w:tc>
          <w:tcPr>
            <w:tcW w:w="700" w:type="dxa"/>
            <w:vAlign w:val="bottom"/>
            <w:gridSpan w:val="2"/>
            <w:shd w:val="clear" w:color="auto" w:fill="CCEEFF"/>
          </w:tcPr>
          <w:p>
            <w:pPr>
              <w:spacing w:after="0"/>
              <w:rPr>
                <w:sz w:val="13"/>
                <w:szCs w:val="13"/>
                <w:color w:val="auto"/>
              </w:rPr>
            </w:pPr>
          </w:p>
        </w:tc>
        <w:tc>
          <w:tcPr>
            <w:tcW w:w="180" w:type="dxa"/>
            <w:vAlign w:val="bottom"/>
            <w:gridSpan w:val="2"/>
            <w:shd w:val="clear" w:color="auto" w:fill="CCEEFF"/>
          </w:tcPr>
          <w:p>
            <w:pPr>
              <w:spacing w:after="0"/>
              <w:rPr>
                <w:sz w:val="13"/>
                <w:szCs w:val="13"/>
                <w:color w:val="auto"/>
              </w:rPr>
            </w:pPr>
          </w:p>
        </w:tc>
        <w:tc>
          <w:tcPr>
            <w:tcW w:w="720" w:type="dxa"/>
            <w:vAlign w:val="bottom"/>
            <w:gridSpan w:val="2"/>
            <w:shd w:val="clear" w:color="auto" w:fill="CCEEFF"/>
          </w:tcPr>
          <w:p>
            <w:pPr>
              <w:spacing w:after="0"/>
              <w:rPr>
                <w:sz w:val="13"/>
                <w:szCs w:val="13"/>
                <w:color w:val="auto"/>
              </w:rPr>
            </w:pPr>
          </w:p>
        </w:tc>
        <w:tc>
          <w:tcPr>
            <w:tcW w:w="180" w:type="dxa"/>
            <w:vAlign w:val="bottom"/>
            <w:gridSpan w:val="2"/>
            <w:shd w:val="clear" w:color="auto" w:fill="CCEEFF"/>
          </w:tcPr>
          <w:p>
            <w:pPr>
              <w:spacing w:after="0"/>
              <w:rPr>
                <w:sz w:val="13"/>
                <w:szCs w:val="13"/>
                <w:color w:val="auto"/>
              </w:rPr>
            </w:pPr>
          </w:p>
        </w:tc>
        <w:tc>
          <w:tcPr>
            <w:tcW w:w="700" w:type="dxa"/>
            <w:vAlign w:val="bottom"/>
            <w:gridSpan w:val="2"/>
            <w:shd w:val="clear" w:color="auto" w:fill="CCEEFF"/>
          </w:tcPr>
          <w:p>
            <w:pPr>
              <w:spacing w:after="0"/>
              <w:rPr>
                <w:sz w:val="13"/>
                <w:szCs w:val="13"/>
                <w:color w:val="auto"/>
              </w:rPr>
            </w:pPr>
          </w:p>
        </w:tc>
        <w:tc>
          <w:tcPr>
            <w:tcW w:w="180" w:type="dxa"/>
            <w:vAlign w:val="bottom"/>
            <w:gridSpan w:val="2"/>
            <w:shd w:val="clear" w:color="auto" w:fill="CCEEFF"/>
          </w:tcPr>
          <w:p>
            <w:pPr>
              <w:spacing w:after="0"/>
              <w:rPr>
                <w:sz w:val="13"/>
                <w:szCs w:val="13"/>
                <w:color w:val="auto"/>
              </w:rPr>
            </w:pPr>
          </w:p>
        </w:tc>
        <w:tc>
          <w:tcPr>
            <w:tcW w:w="700" w:type="dxa"/>
            <w:vAlign w:val="bottom"/>
            <w:gridSpan w:val="2"/>
            <w:shd w:val="clear" w:color="auto" w:fill="CCEEFF"/>
          </w:tcPr>
          <w:p>
            <w:pPr>
              <w:spacing w:after="0"/>
              <w:rPr>
                <w:sz w:val="13"/>
                <w:szCs w:val="13"/>
                <w:color w:val="auto"/>
              </w:rPr>
            </w:pPr>
          </w:p>
        </w:tc>
        <w:tc>
          <w:tcPr>
            <w:tcW w:w="200" w:type="dxa"/>
            <w:vAlign w:val="bottom"/>
            <w:gridSpan w:val="2"/>
            <w:shd w:val="clear" w:color="auto" w:fill="CCEEFF"/>
          </w:tcPr>
          <w:p>
            <w:pPr>
              <w:spacing w:after="0"/>
              <w:rPr>
                <w:sz w:val="13"/>
                <w:szCs w:val="13"/>
                <w:color w:val="auto"/>
              </w:rPr>
            </w:pPr>
          </w:p>
        </w:tc>
        <w:tc>
          <w:tcPr>
            <w:tcW w:w="700" w:type="dxa"/>
            <w:vAlign w:val="bottom"/>
            <w:gridSpan w:val="2"/>
            <w:shd w:val="clear" w:color="auto" w:fill="CCEEFF"/>
          </w:tcPr>
          <w:p>
            <w:pPr>
              <w:spacing w:after="0"/>
              <w:rPr>
                <w:sz w:val="13"/>
                <w:szCs w:val="13"/>
                <w:color w:val="auto"/>
              </w:rPr>
            </w:pPr>
          </w:p>
        </w:tc>
        <w:tc>
          <w:tcPr>
            <w:tcW w:w="180" w:type="dxa"/>
            <w:vAlign w:val="bottom"/>
            <w:gridSpan w:val="2"/>
            <w:shd w:val="clear" w:color="auto" w:fill="CCEEFF"/>
          </w:tcPr>
          <w:p>
            <w:pPr>
              <w:spacing w:after="0"/>
              <w:rPr>
                <w:sz w:val="13"/>
                <w:szCs w:val="13"/>
                <w:color w:val="auto"/>
              </w:rPr>
            </w:pPr>
          </w:p>
        </w:tc>
        <w:tc>
          <w:tcPr>
            <w:tcW w:w="700" w:type="dxa"/>
            <w:vAlign w:val="bottom"/>
            <w:gridSpan w:val="2"/>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80" w:type="dxa"/>
            <w:vAlign w:val="bottom"/>
            <w:gridSpan w:val="27"/>
          </w:tcPr>
          <w:p>
            <w:pPr>
              <w:ind w:left="360"/>
              <w:spacing w:after="0" w:line="157" w:lineRule="exact"/>
              <w:rPr>
                <w:sz w:val="20"/>
                <w:szCs w:val="20"/>
                <w:color w:val="auto"/>
              </w:rPr>
            </w:pPr>
            <w:r>
              <w:rPr>
                <w:rFonts w:ascii="Arial" w:cs="Arial" w:eastAsia="Arial" w:hAnsi="Arial"/>
                <w:sz w:val="14"/>
                <w:szCs w:val="14"/>
                <w:color w:val="auto"/>
                <w:w w:val="93"/>
              </w:rPr>
              <w:t>Net liability for upaid loss and allocated loss adjustment expenses for the accident years presented</w:t>
            </w:r>
          </w:p>
        </w:tc>
        <w:tc>
          <w:tcPr>
            <w:tcW w:w="100" w:type="dxa"/>
            <w:vAlign w:val="bottom"/>
            <w:gridSpan w:val="2"/>
          </w:tcPr>
          <w:p>
            <w:pPr>
              <w:spacing w:after="0" w:line="157"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59,055</w:t>
            </w: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5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360" w:type="dxa"/>
            <w:vAlign w:val="bottom"/>
            <w:tcBorders>
              <w:bottom w:val="single" w:sz="8" w:color="CCEEFF"/>
            </w:tcBorders>
            <w:gridSpan w:val="14"/>
            <w:shd w:val="clear" w:color="auto" w:fill="CCEEFF"/>
          </w:tcPr>
          <w:p>
            <w:pPr>
              <w:jc w:val="right"/>
              <w:ind w:right="40"/>
              <w:spacing w:after="0" w:line="137" w:lineRule="exact"/>
              <w:rPr>
                <w:sz w:val="20"/>
                <w:szCs w:val="20"/>
                <w:color w:val="auto"/>
              </w:rPr>
            </w:pPr>
            <w:r>
              <w:rPr>
                <w:rFonts w:ascii="Arial" w:cs="Arial" w:eastAsia="Arial" w:hAnsi="Arial"/>
                <w:sz w:val="14"/>
                <w:szCs w:val="14"/>
                <w:color w:val="auto"/>
                <w:w w:val="95"/>
              </w:rPr>
              <w:t>All outstanding liabilities before 2011, net of reinsurance</w:t>
            </w:r>
          </w:p>
        </w:tc>
        <w:tc>
          <w:tcPr>
            <w:tcW w:w="8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line="137" w:lineRule="exact"/>
              <w:rPr>
                <w:sz w:val="20"/>
                <w:szCs w:val="20"/>
                <w:color w:val="auto"/>
              </w:rPr>
            </w:pPr>
            <w:r>
              <w:rPr>
                <w:rFonts w:ascii="Arial" w:cs="Arial" w:eastAsia="Arial" w:hAnsi="Arial"/>
                <w:sz w:val="14"/>
                <w:szCs w:val="14"/>
                <w:color w:val="auto"/>
              </w:rPr>
              <w:t>100</w:t>
            </w:r>
          </w:p>
        </w:tc>
        <w:tc>
          <w:tcPr>
            <w:tcW w:w="20" w:type="dxa"/>
            <w:vAlign w:val="bottom"/>
            <w:tcBorders>
              <w:bottom w:val="single" w:sz="8" w:color="CCEEFF"/>
            </w:tcBorders>
            <w:shd w:val="clear" w:color="auto" w:fill="CCEEFF"/>
          </w:tcPr>
          <w:p>
            <w:pPr>
              <w:spacing w:after="0"/>
              <w:rPr>
                <w:sz w:val="14"/>
                <w:szCs w:val="14"/>
                <w:color w:val="auto"/>
              </w:rPr>
            </w:pPr>
          </w:p>
        </w:tc>
        <w:tc>
          <w:tcPr>
            <w:tcW w:w="18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580" w:type="dxa"/>
            <w:vAlign w:val="bottom"/>
            <w:gridSpan w:val="21"/>
            <w:vMerge w:val="restart"/>
          </w:tcPr>
          <w:p>
            <w:pPr>
              <w:jc w:val="right"/>
              <w:ind w:right="120"/>
              <w:spacing w:after="0"/>
              <w:rPr>
                <w:sz w:val="20"/>
                <w:szCs w:val="20"/>
                <w:color w:val="auto"/>
              </w:rPr>
            </w:pPr>
            <w:r>
              <w:rPr>
                <w:rFonts w:ascii="Arial" w:cs="Arial" w:eastAsia="Arial" w:hAnsi="Arial"/>
                <w:sz w:val="14"/>
                <w:szCs w:val="14"/>
                <w:color w:val="auto"/>
                <w:w w:val="92"/>
              </w:rPr>
              <w:t>Liabilities for loss and allocated loss adjustment expenses, net of reinsurance</w:t>
            </w:r>
          </w:p>
        </w:tc>
        <w:tc>
          <w:tcPr>
            <w:tcW w:w="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59,154</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80" w:type="dxa"/>
            <w:vAlign w:val="bottom"/>
            <w:gridSpan w:val="21"/>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jc w:val="both"/>
        <w:ind w:right="80"/>
        <w:spacing w:after="0" w:line="313" w:lineRule="auto"/>
        <w:rPr>
          <w:sz w:val="20"/>
          <w:szCs w:val="20"/>
          <w:color w:val="auto"/>
        </w:rPr>
      </w:pPr>
      <w:r>
        <w:rPr>
          <w:rFonts w:ascii="Arial" w:cs="Arial" w:eastAsia="Arial" w:hAnsi="Arial"/>
          <w:sz w:val="16"/>
          <w:szCs w:val="16"/>
          <w:color w:val="auto"/>
        </w:rPr>
        <w:t>Reported claim counts are measured on an occurrence or per event basis. A single claim occurrence could result in more than one loss type or claimant; however, the Company counts claims at the occurrence level as a single claim regardless of the number of claimants or claim features involved.</w:t>
      </w:r>
    </w:p>
    <w:p>
      <w:pPr>
        <w:spacing w:after="0" w:line="356"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320"/>
          </w:cols>
          <w:pgMar w:left="320" w:top="545" w:right="259" w:bottom="1440" w:gutter="0" w:footer="0" w:header="0"/>
        </w:sectPr>
      </w:pPr>
    </w:p>
    <w:bookmarkStart w:id="22" w:name="page23"/>
    <w:bookmarkEnd w:id="22"/>
    <w:p>
      <w:pPr>
        <w:spacing w:after="0"/>
        <w:rPr>
          <w:sz w:val="20"/>
          <w:szCs w:val="20"/>
          <w:color w:val="auto"/>
        </w:rPr>
      </w:pPr>
      <w:r>
        <w:rPr>
          <w:rFonts w:ascii="Arial" w:cs="Arial" w:eastAsia="Arial" w:hAnsi="Arial"/>
          <w:sz w:val="17"/>
          <w:szCs w:val="17"/>
          <w:color w:val="auto"/>
        </w:rPr>
        <w:t>The reconciliation of the net incurred and paid loss development tables to the loss and LAE reserves in the consolidated balance sheet is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57"/>
        </w:trPr>
        <w:tc>
          <w:tcPr>
            <w:tcW w:w="10020" w:type="dxa"/>
            <w:vAlign w:val="bottom"/>
            <w:vMerge w:val="restart"/>
          </w:tcPr>
          <w:p>
            <w:pPr>
              <w:spacing w:after="0"/>
              <w:rPr>
                <w:sz w:val="20"/>
                <w:szCs w:val="20"/>
                <w:color w:val="auto"/>
              </w:rPr>
            </w:pPr>
            <w:r>
              <w:rPr>
                <w:rFonts w:ascii="Arial" w:cs="Arial" w:eastAsia="Arial" w:hAnsi="Arial"/>
                <w:sz w:val="17"/>
                <w:szCs w:val="17"/>
                <w:b w:val="1"/>
                <w:bCs w:val="1"/>
                <w:i w:val="1"/>
                <w:iCs w:val="1"/>
                <w:color w:val="auto"/>
              </w:rPr>
              <w:t>(in thousands)</w:t>
            </w:r>
          </w:p>
        </w:tc>
        <w:tc>
          <w:tcPr>
            <w:tcW w:w="160" w:type="dxa"/>
            <w:vAlign w:val="bottom"/>
          </w:tcPr>
          <w:p>
            <w:pPr>
              <w:spacing w:after="0"/>
              <w:rPr>
                <w:sz w:val="13"/>
                <w:szCs w:val="13"/>
                <w:color w:val="auto"/>
              </w:rPr>
            </w:pPr>
          </w:p>
        </w:tc>
        <w:tc>
          <w:tcPr>
            <w:tcW w:w="106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76"/>
        </w:trPr>
        <w:tc>
          <w:tcPr>
            <w:tcW w:w="1002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0020" w:type="dxa"/>
            <w:vAlign w:val="bottom"/>
            <w:shd w:val="clear" w:color="auto" w:fill="CCEEFF"/>
          </w:tcPr>
          <w:p>
            <w:pPr>
              <w:spacing w:after="0"/>
              <w:rPr>
                <w:sz w:val="20"/>
                <w:szCs w:val="20"/>
                <w:color w:val="auto"/>
              </w:rPr>
            </w:pPr>
            <w:r>
              <w:rPr>
                <w:rFonts w:ascii="Arial" w:cs="Arial" w:eastAsia="Arial" w:hAnsi="Arial"/>
                <w:sz w:val="17"/>
                <w:szCs w:val="17"/>
                <w:color w:val="auto"/>
              </w:rPr>
              <w:t>Liabilities for loss and loss adjustment expenses, net of reinsurance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59,154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20" w:type="dxa"/>
            <w:vAlign w:val="bottom"/>
          </w:tcPr>
          <w:p>
            <w:pPr>
              <w:spacing w:after="0"/>
              <w:rPr>
                <w:sz w:val="20"/>
                <w:szCs w:val="20"/>
                <w:color w:val="auto"/>
              </w:rPr>
            </w:pPr>
            <w:r>
              <w:rPr>
                <w:rFonts w:ascii="Arial" w:cs="Arial" w:eastAsia="Arial" w:hAnsi="Arial"/>
                <w:sz w:val="17"/>
                <w:szCs w:val="17"/>
                <w:color w:val="auto"/>
              </w:rPr>
              <w:t>Total reinsurance recoverable on unpaid losses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16,259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Unallocated loss adjustment expenses</w:t>
            </w: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2,437</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20" w:type="dxa"/>
            <w:vAlign w:val="bottom"/>
          </w:tcPr>
          <w:p>
            <w:pPr>
              <w:spacing w:after="0"/>
              <w:rPr>
                <w:sz w:val="20"/>
                <w:szCs w:val="20"/>
                <w:color w:val="auto"/>
              </w:rPr>
            </w:pPr>
            <w:r>
              <w:rPr>
                <w:rFonts w:ascii="Arial" w:cs="Arial" w:eastAsia="Arial" w:hAnsi="Arial"/>
                <w:sz w:val="17"/>
                <w:szCs w:val="17"/>
                <w:color w:val="auto"/>
              </w:rPr>
              <w:t>Total gross liability for loss and LAE reserves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77,851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Reinsurance</w:t>
      </w:r>
    </w:p>
    <w:p>
      <w:pPr>
        <w:spacing w:after="0" w:line="15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Through June 30, 2019, the Company’s quota share reinsurance treaties were on a July 1 through June 30 fiscal year basis. Effective December 15, 2019, the Company entered into a quota share reinsurance treaty for its personal lines business, which primarily consists of homeowners’ policies, covering the period from December 15, 2019 through December 31, 2020 (“2019/2020 Treaty”). The Company’s quota share reinsurance treaties in effect during the three months ended March 31, 2019 for its personal lines business were covered under a treaty covering a two-year period from July 1, 2017 through June 30, 2019 (“2017/2019 Treaty”). The treaty in effect during the three months ended March 31, 2019 was covered under the July 1, 2018 through June 30, 2019 treaty year (“2018/2019 Treaty Year”).</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Effective July 1, 2019, the 2017/2019 Treaty and the commercial umbrella treaty expired on a run-off basis; these treaties were not renewed. The Company entered into new excess of loss and catastrophe reinsurance treaties effective July 1, 2019. Material terms for reinsurance treaties in effect for the treaty years shown below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Treaty Year</w:t>
            </w: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143"/>
        </w:trPr>
        <w:tc>
          <w:tcPr>
            <w:tcW w:w="6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December 15, 2019</w:t>
            </w:r>
          </w:p>
        </w:tc>
        <w:tc>
          <w:tcPr>
            <w:tcW w:w="300" w:type="dxa"/>
            <w:vAlign w:val="bottom"/>
          </w:tcPr>
          <w:p>
            <w:pPr>
              <w:spacing w:after="0"/>
              <w:rPr>
                <w:sz w:val="12"/>
                <w:szCs w:val="12"/>
                <w:color w:val="auto"/>
              </w:rPr>
            </w:pPr>
          </w:p>
        </w:tc>
        <w:tc>
          <w:tcPr>
            <w:tcW w:w="12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4"/>
              </w:rPr>
              <w:t>July 1, 2019</w:t>
            </w:r>
          </w:p>
        </w:tc>
        <w:tc>
          <w:tcPr>
            <w:tcW w:w="320" w:type="dxa"/>
            <w:vAlign w:val="bottom"/>
          </w:tcPr>
          <w:p>
            <w:pPr>
              <w:spacing w:after="0"/>
              <w:rPr>
                <w:sz w:val="12"/>
                <w:szCs w:val="12"/>
                <w:color w:val="auto"/>
              </w:rPr>
            </w:pPr>
          </w:p>
        </w:tc>
        <w:tc>
          <w:tcPr>
            <w:tcW w:w="1260" w:type="dxa"/>
            <w:vAlign w:val="bottom"/>
            <w:gridSpan w:val="2"/>
          </w:tcPr>
          <w:p>
            <w:pPr>
              <w:jc w:val="center"/>
              <w:ind w:right="20"/>
              <w:spacing w:after="0" w:line="143" w:lineRule="exact"/>
              <w:rPr>
                <w:sz w:val="20"/>
                <w:szCs w:val="20"/>
                <w:color w:val="auto"/>
              </w:rPr>
            </w:pPr>
            <w:r>
              <w:rPr>
                <w:rFonts w:ascii="Arial" w:cs="Arial" w:eastAsia="Arial" w:hAnsi="Arial"/>
                <w:sz w:val="14"/>
                <w:szCs w:val="14"/>
                <w:b w:val="1"/>
                <w:bCs w:val="1"/>
                <w:color w:val="auto"/>
                <w:w w:val="91"/>
              </w:rPr>
              <w:t>July 1, 2018</w:t>
            </w:r>
          </w:p>
        </w:tc>
      </w:tr>
      <w:tr>
        <w:trPr>
          <w:trHeight w:val="157"/>
        </w:trPr>
        <w:tc>
          <w:tcPr>
            <w:tcW w:w="6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0"/>
              </w:rPr>
              <w:t>to</w:t>
            </w:r>
          </w:p>
        </w:tc>
        <w:tc>
          <w:tcPr>
            <w:tcW w:w="3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0"/>
              </w:rPr>
              <w:t>to</w:t>
            </w:r>
          </w:p>
        </w:tc>
        <w:tc>
          <w:tcPr>
            <w:tcW w:w="320" w:type="dxa"/>
            <w:vAlign w:val="bottom"/>
          </w:tcPr>
          <w:p>
            <w:pPr>
              <w:spacing w:after="0"/>
              <w:rPr>
                <w:sz w:val="13"/>
                <w:szCs w:val="13"/>
                <w:color w:val="auto"/>
              </w:rPr>
            </w:pPr>
          </w:p>
        </w:tc>
        <w:tc>
          <w:tcPr>
            <w:tcW w:w="1260" w:type="dxa"/>
            <w:vAlign w:val="bottom"/>
            <w:gridSpan w:val="2"/>
          </w:tcPr>
          <w:p>
            <w:pPr>
              <w:jc w:val="center"/>
              <w:ind w:right="20"/>
              <w:spacing w:after="0" w:line="157" w:lineRule="exact"/>
              <w:rPr>
                <w:sz w:val="20"/>
                <w:szCs w:val="20"/>
                <w:color w:val="auto"/>
              </w:rPr>
            </w:pPr>
            <w:r>
              <w:rPr>
                <w:rFonts w:ascii="Arial" w:cs="Arial" w:eastAsia="Arial" w:hAnsi="Arial"/>
                <w:sz w:val="14"/>
                <w:szCs w:val="14"/>
                <w:b w:val="1"/>
                <w:bCs w:val="1"/>
                <w:color w:val="auto"/>
                <w:w w:val="90"/>
              </w:rPr>
              <w:t>to</w:t>
            </w:r>
          </w:p>
        </w:tc>
      </w:tr>
      <w:tr>
        <w:trPr>
          <w:trHeight w:val="176"/>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Line of Business</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30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14, 2019</w:t>
            </w:r>
          </w:p>
        </w:tc>
        <w:tc>
          <w:tcPr>
            <w:tcW w:w="32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 2019</w:t>
            </w:r>
          </w:p>
        </w:tc>
        <w:tc>
          <w:tcPr>
            <w:tcW w:w="20" w:type="dxa"/>
            <w:vAlign w:val="bottom"/>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1240"/>
          </w:cols>
          <w:pgMar w:left="320" w:top="549" w:right="339" w:bottom="0" w:gutter="0" w:footer="0" w:header="0"/>
        </w:sectPr>
      </w:pP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Personal Lines</w:t>
      </w:r>
      <w:r>
        <w:rPr>
          <w:rFonts w:ascii="Arial" w:cs="Arial" w:eastAsia="Arial" w:hAnsi="Arial"/>
          <w:sz w:val="17"/>
          <w:szCs w:val="17"/>
          <w:color w:val="auto"/>
        </w:rPr>
        <w:t>:</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Homeowners, dwelling fire and</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and canine legal liability</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color w:val="auto"/>
        </w:rPr>
        <w:t>Quota share treaty:</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7"/>
          <w:szCs w:val="17"/>
          <w:color w:val="auto"/>
        </w:rPr>
        <w:t>Percent ceded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Line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39370</wp:posOffset>
            </wp:positionV>
            <wp:extent cx="4140835"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140835" cy="16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300" w:type="dxa"/>
            <w:vAlign w:val="bottom"/>
            <w:gridSpan w:val="2"/>
          </w:tcPr>
          <w:p>
            <w:pPr>
              <w:jc w:val="right"/>
              <w:ind w:right="368"/>
              <w:spacing w:after="0"/>
              <w:rPr>
                <w:sz w:val="20"/>
                <w:szCs w:val="20"/>
                <w:color w:val="auto"/>
              </w:rPr>
            </w:pPr>
            <w:r>
              <w:rPr>
                <w:rFonts w:ascii="Arial" w:cs="Arial" w:eastAsia="Arial" w:hAnsi="Arial"/>
                <w:sz w:val="17"/>
                <w:szCs w:val="17"/>
                <w:color w:val="auto"/>
              </w:rPr>
              <w:t>25%</w:t>
            </w:r>
          </w:p>
        </w:tc>
        <w:tc>
          <w:tcPr>
            <w:tcW w:w="3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7"/>
                <w:szCs w:val="17"/>
                <w:color w:val="auto"/>
                <w:w w:val="93"/>
              </w:rPr>
              <w:t>None</w:t>
            </w:r>
          </w:p>
        </w:tc>
        <w:tc>
          <w:tcPr>
            <w:tcW w:w="1560" w:type="dxa"/>
            <w:vAlign w:val="bottom"/>
            <w:gridSpan w:val="2"/>
          </w:tcPr>
          <w:p>
            <w:pPr>
              <w:jc w:val="right"/>
              <w:ind w:right="348"/>
              <w:spacing w:after="0"/>
              <w:rPr>
                <w:sz w:val="20"/>
                <w:szCs w:val="20"/>
                <w:color w:val="auto"/>
              </w:rPr>
            </w:pPr>
            <w:r>
              <w:rPr>
                <w:rFonts w:ascii="Arial" w:cs="Arial" w:eastAsia="Arial" w:hAnsi="Arial"/>
                <w:sz w:val="17"/>
                <w:szCs w:val="17"/>
                <w:color w:val="auto"/>
              </w:rPr>
              <w:t>10%</w:t>
            </w:r>
          </w:p>
        </w:tc>
        <w:tc>
          <w:tcPr>
            <w:tcW w:w="20" w:type="dxa"/>
            <w:vAlign w:val="bottom"/>
          </w:tcPr>
          <w:p>
            <w:pPr>
              <w:spacing w:after="0"/>
              <w:rPr>
                <w:sz w:val="18"/>
                <w:szCs w:val="18"/>
                <w:color w:val="auto"/>
              </w:rPr>
            </w:pPr>
          </w:p>
        </w:tc>
      </w:tr>
      <w:tr>
        <w:trPr>
          <w:trHeight w:val="427"/>
        </w:trPr>
        <w:tc>
          <w:tcPr>
            <w:tcW w:w="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Treaty Year</w:t>
            </w: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43"/>
        </w:trPr>
        <w:tc>
          <w:tcPr>
            <w:tcW w:w="20" w:type="dxa"/>
            <w:vAlign w:val="bottom"/>
          </w:tcPr>
          <w:p>
            <w:pPr>
              <w:spacing w:after="0"/>
              <w:rPr>
                <w:sz w:val="12"/>
                <w:szCs w:val="12"/>
                <w:color w:val="auto"/>
              </w:rPr>
            </w:pPr>
          </w:p>
        </w:tc>
        <w:tc>
          <w:tcPr>
            <w:tcW w:w="12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December 15, 2019</w:t>
            </w:r>
          </w:p>
        </w:tc>
        <w:tc>
          <w:tcPr>
            <w:tcW w:w="300" w:type="dxa"/>
            <w:vAlign w:val="bottom"/>
          </w:tcPr>
          <w:p>
            <w:pPr>
              <w:spacing w:after="0"/>
              <w:rPr>
                <w:sz w:val="12"/>
                <w:szCs w:val="12"/>
                <w:color w:val="auto"/>
              </w:rPr>
            </w:pPr>
          </w:p>
        </w:tc>
        <w:tc>
          <w:tcPr>
            <w:tcW w:w="12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4"/>
              </w:rPr>
              <w:t>July 1, 2019</w:t>
            </w:r>
          </w:p>
        </w:tc>
        <w:tc>
          <w:tcPr>
            <w:tcW w:w="320" w:type="dxa"/>
            <w:vAlign w:val="bottom"/>
          </w:tcPr>
          <w:p>
            <w:pPr>
              <w:spacing w:after="0"/>
              <w:rPr>
                <w:sz w:val="12"/>
                <w:szCs w:val="12"/>
                <w:color w:val="auto"/>
              </w:rPr>
            </w:pPr>
          </w:p>
        </w:tc>
        <w:tc>
          <w:tcPr>
            <w:tcW w:w="1260" w:type="dxa"/>
            <w:vAlign w:val="bottom"/>
            <w:gridSpan w:val="2"/>
          </w:tcPr>
          <w:p>
            <w:pPr>
              <w:jc w:val="center"/>
              <w:ind w:right="20"/>
              <w:spacing w:after="0" w:line="143" w:lineRule="exact"/>
              <w:rPr>
                <w:sz w:val="20"/>
                <w:szCs w:val="20"/>
                <w:color w:val="auto"/>
              </w:rPr>
            </w:pPr>
            <w:r>
              <w:rPr>
                <w:rFonts w:ascii="Arial" w:cs="Arial" w:eastAsia="Arial" w:hAnsi="Arial"/>
                <w:sz w:val="14"/>
                <w:szCs w:val="14"/>
                <w:b w:val="1"/>
                <w:bCs w:val="1"/>
                <w:color w:val="auto"/>
                <w:w w:val="96"/>
              </w:rPr>
              <w:t>July 1, 2018</w:t>
            </w:r>
          </w:p>
        </w:tc>
      </w:tr>
      <w:tr>
        <w:trPr>
          <w:trHeight w:val="157"/>
        </w:trPr>
        <w:tc>
          <w:tcPr>
            <w:tcW w:w="20" w:type="dxa"/>
            <w:vAlign w:val="bottom"/>
          </w:tcPr>
          <w:p>
            <w:pPr>
              <w:spacing w:after="0"/>
              <w:rPr>
                <w:sz w:val="13"/>
                <w:szCs w:val="13"/>
                <w:color w:val="auto"/>
              </w:rPr>
            </w:pPr>
          </w:p>
        </w:tc>
        <w:tc>
          <w:tcPr>
            <w:tcW w:w="12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0"/>
              </w:rPr>
              <w:t>to</w:t>
            </w:r>
          </w:p>
        </w:tc>
        <w:tc>
          <w:tcPr>
            <w:tcW w:w="3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0"/>
              </w:rPr>
              <w:t>to</w:t>
            </w:r>
          </w:p>
        </w:tc>
        <w:tc>
          <w:tcPr>
            <w:tcW w:w="320" w:type="dxa"/>
            <w:vAlign w:val="bottom"/>
          </w:tcPr>
          <w:p>
            <w:pPr>
              <w:spacing w:after="0"/>
              <w:rPr>
                <w:sz w:val="13"/>
                <w:szCs w:val="13"/>
                <w:color w:val="auto"/>
              </w:rPr>
            </w:pPr>
          </w:p>
        </w:tc>
        <w:tc>
          <w:tcPr>
            <w:tcW w:w="1260" w:type="dxa"/>
            <w:vAlign w:val="bottom"/>
            <w:gridSpan w:val="2"/>
          </w:tcPr>
          <w:p>
            <w:pPr>
              <w:jc w:val="center"/>
              <w:ind w:right="20"/>
              <w:spacing w:after="0" w:line="157" w:lineRule="exact"/>
              <w:rPr>
                <w:sz w:val="20"/>
                <w:szCs w:val="20"/>
                <w:color w:val="auto"/>
              </w:rPr>
            </w:pPr>
            <w:r>
              <w:rPr>
                <w:rFonts w:ascii="Arial" w:cs="Arial" w:eastAsia="Arial" w:hAnsi="Arial"/>
                <w:sz w:val="14"/>
                <w:szCs w:val="14"/>
                <w:b w:val="1"/>
                <w:bCs w:val="1"/>
                <w:color w:val="auto"/>
                <w:w w:val="90"/>
              </w:rPr>
              <w:t>to</w:t>
            </w:r>
          </w:p>
        </w:tc>
      </w:tr>
      <w:tr>
        <w:trPr>
          <w:trHeight w:val="176"/>
        </w:trPr>
        <w:tc>
          <w:tcPr>
            <w:tcW w:w="2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 2020</w:t>
            </w:r>
          </w:p>
        </w:tc>
        <w:tc>
          <w:tcPr>
            <w:tcW w:w="30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December 14, 2019</w:t>
            </w:r>
          </w:p>
        </w:tc>
        <w:tc>
          <w:tcPr>
            <w:tcW w:w="32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 2019</w:t>
            </w:r>
          </w:p>
        </w:tc>
        <w:tc>
          <w:tcPr>
            <w:tcW w:w="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-4225290</wp:posOffset>
            </wp:positionH>
            <wp:positionV relativeFrom="paragraph">
              <wp:posOffset>-746125</wp:posOffset>
            </wp:positionV>
            <wp:extent cx="7136765" cy="149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765" cy="1492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940" w:space="720"/>
            <w:col w:w="4580"/>
          </w:cols>
          <w:pgMar w:left="320" w:top="549" w:right="339" w:bottom="0" w:gutter="0" w:footer="0" w:header="0"/>
          <w:type w:val="continuous"/>
        </w:sectPr>
      </w:pP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88"/>
              </w:rPr>
              <w:t>Personal Lines:</w:t>
            </w:r>
          </w:p>
        </w:tc>
        <w:tc>
          <w:tcPr>
            <w:tcW w:w="3820" w:type="dxa"/>
            <w:vAlign w:val="bottom"/>
            <w:gridSpan w:val="2"/>
          </w:tcPr>
          <w:p>
            <w:pPr>
              <w:spacing w:after="0"/>
              <w:rPr>
                <w:sz w:val="16"/>
                <w:szCs w:val="16"/>
                <w:color w:val="auto"/>
              </w:rPr>
            </w:pPr>
          </w:p>
        </w:tc>
        <w:tc>
          <w:tcPr>
            <w:tcW w:w="19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52"/>
        </w:trPr>
        <w:tc>
          <w:tcPr>
            <w:tcW w:w="4880" w:type="dxa"/>
            <w:vAlign w:val="bottom"/>
            <w:gridSpan w:val="3"/>
          </w:tcPr>
          <w:p>
            <w:pPr>
              <w:spacing w:after="0"/>
              <w:rPr>
                <w:sz w:val="20"/>
                <w:szCs w:val="20"/>
                <w:color w:val="auto"/>
              </w:rPr>
            </w:pPr>
            <w:r>
              <w:rPr>
                <w:rFonts w:ascii="Arial" w:cs="Arial" w:eastAsia="Arial" w:hAnsi="Arial"/>
                <w:sz w:val="17"/>
                <w:szCs w:val="17"/>
                <w:color w:val="auto"/>
              </w:rPr>
              <w:t>Homeowners, dwelling fire and</w:t>
            </w:r>
          </w:p>
        </w:tc>
        <w:tc>
          <w:tcPr>
            <w:tcW w:w="19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35"/>
        </w:trPr>
        <w:tc>
          <w:tcPr>
            <w:tcW w:w="4880" w:type="dxa"/>
            <w:vAlign w:val="bottom"/>
            <w:gridSpan w:val="3"/>
          </w:tcPr>
          <w:p>
            <w:pPr>
              <w:spacing w:after="0"/>
              <w:rPr>
                <w:sz w:val="20"/>
                <w:szCs w:val="20"/>
                <w:color w:val="auto"/>
              </w:rPr>
            </w:pPr>
            <w:r>
              <w:rPr>
                <w:rFonts w:ascii="Arial" w:cs="Arial" w:eastAsia="Arial" w:hAnsi="Arial"/>
                <w:sz w:val="17"/>
                <w:szCs w:val="17"/>
                <w:color w:val="auto"/>
              </w:rPr>
              <w:t>and canine legal liability</w:t>
            </w:r>
          </w:p>
        </w:tc>
        <w:tc>
          <w:tcPr>
            <w:tcW w:w="19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35"/>
        </w:trPr>
        <w:tc>
          <w:tcPr>
            <w:tcW w:w="4880" w:type="dxa"/>
            <w:vAlign w:val="bottom"/>
            <w:gridSpan w:val="3"/>
          </w:tcPr>
          <w:p>
            <w:pPr>
              <w:ind w:left="40"/>
              <w:spacing w:after="0"/>
              <w:rPr>
                <w:sz w:val="20"/>
                <w:szCs w:val="20"/>
                <w:color w:val="auto"/>
              </w:rPr>
            </w:pPr>
            <w:r>
              <w:rPr>
                <w:rFonts w:ascii="Arial" w:cs="Arial" w:eastAsia="Arial" w:hAnsi="Arial"/>
                <w:sz w:val="17"/>
                <w:szCs w:val="17"/>
                <w:color w:val="auto"/>
              </w:rPr>
              <w:t>Quota share treaty:</w:t>
            </w:r>
          </w:p>
        </w:tc>
        <w:tc>
          <w:tcPr>
            <w:tcW w:w="19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36"/>
        </w:trPr>
        <w:tc>
          <w:tcPr>
            <w:tcW w:w="4880" w:type="dxa"/>
            <w:vAlign w:val="bottom"/>
            <w:gridSpan w:val="3"/>
          </w:tcPr>
          <w:p>
            <w:pPr>
              <w:ind w:left="200"/>
              <w:spacing w:after="0"/>
              <w:rPr>
                <w:sz w:val="20"/>
                <w:szCs w:val="20"/>
                <w:color w:val="auto"/>
              </w:rPr>
            </w:pPr>
            <w:r>
              <w:rPr>
                <w:rFonts w:ascii="Arial" w:cs="Arial" w:eastAsia="Arial" w:hAnsi="Arial"/>
                <w:sz w:val="17"/>
                <w:szCs w:val="17"/>
                <w:color w:val="auto"/>
              </w:rPr>
              <w:t>Risk retained on intial $1,000,000</w:t>
            </w:r>
          </w:p>
        </w:tc>
        <w:tc>
          <w:tcPr>
            <w:tcW w:w="19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10"/>
        </w:trPr>
        <w:tc>
          <w:tcPr>
            <w:tcW w:w="488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of losses</w:t>
            </w:r>
          </w:p>
        </w:tc>
        <w:tc>
          <w:tcPr>
            <w:tcW w:w="19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750,000</w:t>
            </w:r>
          </w:p>
        </w:tc>
        <w:tc>
          <w:tcPr>
            <w:tcW w:w="3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1,000,000</w:t>
            </w:r>
          </w:p>
        </w:tc>
        <w:tc>
          <w:tcPr>
            <w:tcW w:w="3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900,000</w:t>
            </w:r>
          </w:p>
        </w:tc>
      </w:tr>
      <w:tr>
        <w:trPr>
          <w:trHeight w:val="209"/>
        </w:trPr>
        <w:tc>
          <w:tcPr>
            <w:tcW w:w="4880" w:type="dxa"/>
            <w:vAlign w:val="bottom"/>
            <w:gridSpan w:val="3"/>
          </w:tcPr>
          <w:p>
            <w:pPr>
              <w:ind w:left="200"/>
              <w:spacing w:after="0"/>
              <w:rPr>
                <w:sz w:val="20"/>
                <w:szCs w:val="20"/>
                <w:color w:val="auto"/>
              </w:rPr>
            </w:pPr>
            <w:r>
              <w:rPr>
                <w:rFonts w:ascii="Arial" w:cs="Arial" w:eastAsia="Arial" w:hAnsi="Arial"/>
                <w:sz w:val="17"/>
                <w:szCs w:val="17"/>
                <w:color w:val="auto"/>
              </w:rPr>
              <w:t>Losses per occurrence subject to</w:t>
            </w:r>
          </w:p>
        </w:tc>
        <w:tc>
          <w:tcPr>
            <w:tcW w:w="1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9"/>
        </w:trPr>
        <w:tc>
          <w:tcPr>
            <w:tcW w:w="488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quota share reinsurance coverage</w:t>
            </w:r>
          </w:p>
        </w:tc>
        <w:tc>
          <w:tcPr>
            <w:tcW w:w="19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1,000,000</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95"/>
              <w:spacing w:after="0"/>
              <w:rPr>
                <w:sz w:val="20"/>
                <w:szCs w:val="20"/>
                <w:color w:val="auto"/>
              </w:rPr>
            </w:pPr>
            <w:r>
              <w:rPr>
                <w:rFonts w:ascii="Arial" w:cs="Arial" w:eastAsia="Arial" w:hAnsi="Arial"/>
                <w:sz w:val="17"/>
                <w:szCs w:val="17"/>
                <w:color w:val="auto"/>
              </w:rPr>
              <w:t>None</w:t>
            </w:r>
          </w:p>
        </w:tc>
        <w:tc>
          <w:tcPr>
            <w:tcW w:w="3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1,000,000</w:t>
            </w:r>
          </w:p>
        </w:tc>
      </w:tr>
      <w:tr>
        <w:trPr>
          <w:trHeight w:val="209"/>
        </w:trPr>
        <w:tc>
          <w:tcPr>
            <w:tcW w:w="4880" w:type="dxa"/>
            <w:vAlign w:val="bottom"/>
            <w:gridSpan w:val="3"/>
          </w:tcPr>
          <w:p>
            <w:pPr>
              <w:ind w:left="200"/>
              <w:spacing w:after="0"/>
              <w:rPr>
                <w:sz w:val="20"/>
                <w:szCs w:val="20"/>
                <w:color w:val="auto"/>
              </w:rPr>
            </w:pPr>
            <w:r>
              <w:rPr>
                <w:rFonts w:ascii="Arial" w:cs="Arial" w:eastAsia="Arial" w:hAnsi="Arial"/>
                <w:sz w:val="17"/>
                <w:szCs w:val="17"/>
                <w:color w:val="auto"/>
              </w:rPr>
              <w:t>Excess of loss coverage and facultative</w:t>
            </w:r>
          </w:p>
        </w:tc>
        <w:tc>
          <w:tcPr>
            <w:tcW w:w="1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9"/>
        </w:trPr>
        <w:tc>
          <w:tcPr>
            <w:tcW w:w="488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facility coverage (1)</w:t>
            </w:r>
          </w:p>
        </w:tc>
        <w:tc>
          <w:tcPr>
            <w:tcW w:w="19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9,000,000</w:t>
            </w:r>
          </w:p>
        </w:tc>
        <w:tc>
          <w:tcPr>
            <w:tcW w:w="3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9,000,000</w:t>
            </w:r>
          </w:p>
        </w:tc>
        <w:tc>
          <w:tcPr>
            <w:tcW w:w="3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9,000,000</w:t>
            </w:r>
          </w:p>
        </w:tc>
      </w:tr>
      <w:tr>
        <w:trPr>
          <w:trHeight w:val="209"/>
        </w:trPr>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40" w:type="dxa"/>
            <w:vAlign w:val="bottom"/>
          </w:tcPr>
          <w:p>
            <w:pPr>
              <w:jc w:val="right"/>
              <w:ind w:right="115"/>
              <w:spacing w:after="0"/>
              <w:rPr>
                <w:sz w:val="20"/>
                <w:szCs w:val="20"/>
                <w:color w:val="auto"/>
              </w:rPr>
            </w:pPr>
            <w:r>
              <w:rPr>
                <w:rFonts w:ascii="Arial" w:cs="Arial" w:eastAsia="Arial" w:hAnsi="Arial"/>
                <w:sz w:val="17"/>
                <w:szCs w:val="17"/>
                <w:color w:val="auto"/>
              </w:rPr>
              <w:t>in excess of</w:t>
            </w:r>
          </w:p>
        </w:tc>
        <w:tc>
          <w:tcPr>
            <w:tcW w:w="360" w:type="dxa"/>
            <w:vAlign w:val="bottom"/>
          </w:tcPr>
          <w:p>
            <w:pPr>
              <w:spacing w:after="0"/>
              <w:rPr>
                <w:sz w:val="18"/>
                <w:szCs w:val="18"/>
                <w:color w:val="auto"/>
              </w:rPr>
            </w:pPr>
          </w:p>
        </w:tc>
        <w:tc>
          <w:tcPr>
            <w:tcW w:w="1220" w:type="dxa"/>
            <w:vAlign w:val="bottom"/>
          </w:tcPr>
          <w:p>
            <w:pPr>
              <w:jc w:val="right"/>
              <w:ind w:right="75"/>
              <w:spacing w:after="0"/>
              <w:rPr>
                <w:sz w:val="20"/>
                <w:szCs w:val="20"/>
                <w:color w:val="auto"/>
              </w:rPr>
            </w:pPr>
            <w:r>
              <w:rPr>
                <w:rFonts w:ascii="Arial" w:cs="Arial" w:eastAsia="Arial" w:hAnsi="Arial"/>
                <w:sz w:val="17"/>
                <w:szCs w:val="17"/>
                <w:color w:val="auto"/>
              </w:rPr>
              <w:t>in excess of</w:t>
            </w:r>
          </w:p>
        </w:tc>
        <w:tc>
          <w:tcPr>
            <w:tcW w:w="340" w:type="dxa"/>
            <w:vAlign w:val="bottom"/>
          </w:tcPr>
          <w:p>
            <w:pPr>
              <w:spacing w:after="0"/>
              <w:rPr>
                <w:sz w:val="18"/>
                <w:szCs w:val="18"/>
                <w:color w:val="auto"/>
              </w:rPr>
            </w:pPr>
          </w:p>
        </w:tc>
        <w:tc>
          <w:tcPr>
            <w:tcW w:w="1220" w:type="dxa"/>
            <w:vAlign w:val="bottom"/>
          </w:tcPr>
          <w:p>
            <w:pPr>
              <w:jc w:val="right"/>
              <w:ind w:right="75"/>
              <w:spacing w:after="0"/>
              <w:rPr>
                <w:sz w:val="20"/>
                <w:szCs w:val="20"/>
                <w:color w:val="auto"/>
              </w:rPr>
            </w:pPr>
            <w:r>
              <w:rPr>
                <w:rFonts w:ascii="Arial" w:cs="Arial" w:eastAsia="Arial" w:hAnsi="Arial"/>
                <w:sz w:val="17"/>
                <w:szCs w:val="17"/>
                <w:color w:val="auto"/>
              </w:rPr>
              <w:t>in excess of</w:t>
            </w:r>
          </w:p>
        </w:tc>
      </w:tr>
      <w:tr>
        <w:trPr>
          <w:trHeight w:val="209"/>
        </w:trPr>
        <w:tc>
          <w:tcPr>
            <w:tcW w:w="10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19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1,000,000</w:t>
            </w:r>
          </w:p>
        </w:tc>
        <w:tc>
          <w:tcPr>
            <w:tcW w:w="3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1,000,000</w:t>
            </w:r>
          </w:p>
        </w:tc>
        <w:tc>
          <w:tcPr>
            <w:tcW w:w="3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1,000,000</w:t>
            </w:r>
          </w:p>
        </w:tc>
      </w:tr>
      <w:tr>
        <w:trPr>
          <w:trHeight w:val="209"/>
        </w:trPr>
        <w:tc>
          <w:tcPr>
            <w:tcW w:w="4880" w:type="dxa"/>
            <w:vAlign w:val="bottom"/>
            <w:gridSpan w:val="3"/>
          </w:tcPr>
          <w:p>
            <w:pPr>
              <w:ind w:left="200"/>
              <w:spacing w:after="0"/>
              <w:rPr>
                <w:sz w:val="20"/>
                <w:szCs w:val="20"/>
                <w:color w:val="auto"/>
              </w:rPr>
            </w:pPr>
            <w:r>
              <w:rPr>
                <w:rFonts w:ascii="Arial" w:cs="Arial" w:eastAsia="Arial" w:hAnsi="Arial"/>
                <w:sz w:val="17"/>
                <w:szCs w:val="17"/>
                <w:color w:val="auto"/>
              </w:rPr>
              <w:t>Total reinsurance coverage per occurrence</w:t>
            </w:r>
          </w:p>
        </w:tc>
        <w:tc>
          <w:tcPr>
            <w:tcW w:w="19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75"/>
              <w:spacing w:after="0"/>
              <w:rPr>
                <w:sz w:val="20"/>
                <w:szCs w:val="20"/>
                <w:color w:val="auto"/>
              </w:rPr>
            </w:pPr>
            <w:r>
              <w:rPr>
                <w:rFonts w:ascii="Arial" w:cs="Arial" w:eastAsia="Arial" w:hAnsi="Arial"/>
                <w:sz w:val="17"/>
                <w:szCs w:val="17"/>
                <w:color w:val="auto"/>
              </w:rPr>
              <w:t>9,250,000</w:t>
            </w:r>
          </w:p>
        </w:tc>
        <w:tc>
          <w:tcPr>
            <w:tcW w:w="3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75"/>
              <w:spacing w:after="0"/>
              <w:rPr>
                <w:sz w:val="20"/>
                <w:szCs w:val="20"/>
                <w:color w:val="auto"/>
              </w:rPr>
            </w:pPr>
            <w:r>
              <w:rPr>
                <w:rFonts w:ascii="Arial" w:cs="Arial" w:eastAsia="Arial" w:hAnsi="Arial"/>
                <w:sz w:val="17"/>
                <w:szCs w:val="17"/>
                <w:color w:val="auto"/>
              </w:rPr>
              <w:t>9,000,000</w:t>
            </w:r>
          </w:p>
        </w:tc>
        <w:tc>
          <w:tcPr>
            <w:tcW w:w="3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75"/>
              <w:spacing w:after="0"/>
              <w:rPr>
                <w:sz w:val="20"/>
                <w:szCs w:val="20"/>
                <w:color w:val="auto"/>
              </w:rPr>
            </w:pPr>
            <w:r>
              <w:rPr>
                <w:rFonts w:ascii="Arial" w:cs="Arial" w:eastAsia="Arial" w:hAnsi="Arial"/>
                <w:sz w:val="17"/>
                <w:szCs w:val="17"/>
                <w:color w:val="auto"/>
              </w:rPr>
              <w:t>9,100,000</w:t>
            </w:r>
          </w:p>
        </w:tc>
      </w:tr>
      <w:tr>
        <w:trPr>
          <w:trHeight w:val="209"/>
        </w:trPr>
        <w:tc>
          <w:tcPr>
            <w:tcW w:w="488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Losses per occurrence subject to</w:t>
            </w:r>
          </w:p>
        </w:tc>
        <w:tc>
          <w:tcPr>
            <w:tcW w:w="19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9"/>
        </w:trPr>
        <w:tc>
          <w:tcPr>
            <w:tcW w:w="4880" w:type="dxa"/>
            <w:vAlign w:val="bottom"/>
            <w:gridSpan w:val="3"/>
          </w:tcPr>
          <w:p>
            <w:pPr>
              <w:ind w:left="200"/>
              <w:spacing w:after="0"/>
              <w:rPr>
                <w:sz w:val="20"/>
                <w:szCs w:val="20"/>
                <w:color w:val="auto"/>
              </w:rPr>
            </w:pPr>
            <w:r>
              <w:rPr>
                <w:rFonts w:ascii="Arial" w:cs="Arial" w:eastAsia="Arial" w:hAnsi="Arial"/>
                <w:sz w:val="17"/>
                <w:szCs w:val="17"/>
                <w:color w:val="auto"/>
              </w:rPr>
              <w:t>reinsurance coverage</w:t>
            </w:r>
          </w:p>
        </w:tc>
        <w:tc>
          <w:tcPr>
            <w:tcW w:w="19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75"/>
              <w:spacing w:after="0"/>
              <w:rPr>
                <w:sz w:val="20"/>
                <w:szCs w:val="20"/>
                <w:color w:val="auto"/>
              </w:rPr>
            </w:pPr>
            <w:r>
              <w:rPr>
                <w:rFonts w:ascii="Arial" w:cs="Arial" w:eastAsia="Arial" w:hAnsi="Arial"/>
                <w:sz w:val="17"/>
                <w:szCs w:val="17"/>
                <w:color w:val="auto"/>
              </w:rPr>
              <w:t>10,000,000</w:t>
            </w:r>
          </w:p>
        </w:tc>
        <w:tc>
          <w:tcPr>
            <w:tcW w:w="3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75"/>
              <w:spacing w:after="0"/>
              <w:rPr>
                <w:sz w:val="20"/>
                <w:szCs w:val="20"/>
                <w:color w:val="auto"/>
              </w:rPr>
            </w:pPr>
            <w:r>
              <w:rPr>
                <w:rFonts w:ascii="Arial" w:cs="Arial" w:eastAsia="Arial" w:hAnsi="Arial"/>
                <w:sz w:val="17"/>
                <w:szCs w:val="17"/>
                <w:color w:val="auto"/>
              </w:rPr>
              <w:t>10,000,000</w:t>
            </w:r>
          </w:p>
        </w:tc>
        <w:tc>
          <w:tcPr>
            <w:tcW w:w="3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75"/>
              <w:spacing w:after="0"/>
              <w:rPr>
                <w:sz w:val="20"/>
                <w:szCs w:val="20"/>
                <w:color w:val="auto"/>
              </w:rPr>
            </w:pPr>
            <w:r>
              <w:rPr>
                <w:rFonts w:ascii="Arial" w:cs="Arial" w:eastAsia="Arial" w:hAnsi="Arial"/>
                <w:sz w:val="17"/>
                <w:szCs w:val="17"/>
                <w:color w:val="auto"/>
              </w:rPr>
              <w:t>10,000,000</w:t>
            </w:r>
          </w:p>
        </w:tc>
      </w:tr>
      <w:tr>
        <w:trPr>
          <w:trHeight w:val="209"/>
        </w:trPr>
        <w:tc>
          <w:tcPr>
            <w:tcW w:w="488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Expiration date</w:t>
            </w:r>
          </w:p>
        </w:tc>
        <w:tc>
          <w:tcPr>
            <w:tcW w:w="19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94"/>
              </w:rPr>
              <w:t>June 30, 2020</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96"/>
              </w:rPr>
              <w:t>June 30, 2020</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96"/>
              </w:rPr>
              <w:t>June 30, 2020</w:t>
            </w:r>
          </w:p>
        </w:tc>
      </w:tr>
      <w:tr>
        <w:trPr>
          <w:trHeight w:val="209"/>
        </w:trPr>
        <w:tc>
          <w:tcPr>
            <w:tcW w:w="1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170"/>
        </w:trPr>
        <w:tc>
          <w:tcPr>
            <w:tcW w:w="4880" w:type="dxa"/>
            <w:vAlign w:val="bottom"/>
            <w:gridSpan w:val="3"/>
            <w:shd w:val="clear" w:color="auto" w:fill="CCEEFF"/>
          </w:tcPr>
          <w:p>
            <w:pPr>
              <w:spacing w:after="0" w:line="170" w:lineRule="exact"/>
              <w:rPr>
                <w:sz w:val="20"/>
                <w:szCs w:val="20"/>
                <w:color w:val="auto"/>
              </w:rPr>
            </w:pPr>
            <w:r>
              <w:rPr>
                <w:rFonts w:ascii="Arial" w:cs="Arial" w:eastAsia="Arial" w:hAnsi="Arial"/>
                <w:sz w:val="17"/>
                <w:szCs w:val="17"/>
                <w:color w:val="auto"/>
              </w:rPr>
              <w:t>Catastrophe Reinsurance:</w:t>
            </w:r>
          </w:p>
        </w:tc>
        <w:tc>
          <w:tcPr>
            <w:tcW w:w="19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39"/>
        </w:trPr>
        <w:tc>
          <w:tcPr>
            <w:tcW w:w="1060" w:type="dxa"/>
            <w:vAlign w:val="bottom"/>
            <w:shd w:val="clear" w:color="auto" w:fill="000000"/>
          </w:tcPr>
          <w:p>
            <w:pPr>
              <w:spacing w:after="0"/>
              <w:rPr>
                <w:sz w:val="3"/>
                <w:szCs w:val="3"/>
                <w:color w:val="auto"/>
              </w:rPr>
            </w:pPr>
          </w:p>
        </w:tc>
        <w:tc>
          <w:tcPr>
            <w:tcW w:w="680" w:type="dxa"/>
            <w:vAlign w:val="bottom"/>
            <w:shd w:val="clear" w:color="auto" w:fill="000000"/>
          </w:tcPr>
          <w:p>
            <w:pPr>
              <w:spacing w:after="0"/>
              <w:rPr>
                <w:sz w:val="3"/>
                <w:szCs w:val="3"/>
                <w:color w:val="auto"/>
              </w:rPr>
            </w:pPr>
          </w:p>
        </w:tc>
        <w:tc>
          <w:tcPr>
            <w:tcW w:w="3140" w:type="dxa"/>
            <w:vAlign w:val="bottom"/>
            <w:shd w:val="clear" w:color="auto" w:fill="CCEEFF"/>
          </w:tcPr>
          <w:p>
            <w:pPr>
              <w:spacing w:after="0"/>
              <w:rPr>
                <w:sz w:val="3"/>
                <w:szCs w:val="3"/>
                <w:color w:val="auto"/>
              </w:rPr>
            </w:pPr>
          </w:p>
        </w:tc>
        <w:tc>
          <w:tcPr>
            <w:tcW w:w="1980" w:type="dxa"/>
            <w:vAlign w:val="bottom"/>
            <w:shd w:val="clear" w:color="auto" w:fill="CCEEFF"/>
          </w:tcPr>
          <w:p>
            <w:pPr>
              <w:spacing w:after="0"/>
              <w:rPr>
                <w:sz w:val="3"/>
                <w:szCs w:val="3"/>
                <w:color w:val="auto"/>
              </w:rPr>
            </w:pPr>
          </w:p>
        </w:tc>
        <w:tc>
          <w:tcPr>
            <w:tcW w:w="124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220" w:type="dxa"/>
            <w:vAlign w:val="bottom"/>
            <w:shd w:val="clear" w:color="auto" w:fill="CCEEFF"/>
          </w:tcPr>
          <w:p>
            <w:pPr>
              <w:spacing w:after="0"/>
              <w:rPr>
                <w:sz w:val="3"/>
                <w:szCs w:val="3"/>
                <w:color w:val="auto"/>
              </w:rPr>
            </w:pPr>
          </w:p>
        </w:tc>
      </w:tr>
      <w:tr>
        <w:trPr>
          <w:trHeight w:val="209"/>
        </w:trPr>
        <w:tc>
          <w:tcPr>
            <w:tcW w:w="4880" w:type="dxa"/>
            <w:vAlign w:val="bottom"/>
            <w:gridSpan w:val="3"/>
          </w:tcPr>
          <w:p>
            <w:pPr>
              <w:ind w:left="200"/>
              <w:spacing w:after="0"/>
              <w:rPr>
                <w:sz w:val="20"/>
                <w:szCs w:val="20"/>
                <w:color w:val="auto"/>
              </w:rPr>
            </w:pPr>
            <w:r>
              <w:rPr>
                <w:rFonts w:ascii="Arial" w:cs="Arial" w:eastAsia="Arial" w:hAnsi="Arial"/>
                <w:sz w:val="17"/>
                <w:szCs w:val="17"/>
                <w:color w:val="auto"/>
              </w:rPr>
              <w:t>Initial loss subject to personal lines</w:t>
            </w:r>
          </w:p>
        </w:tc>
        <w:tc>
          <w:tcPr>
            <w:tcW w:w="1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9"/>
        </w:trPr>
        <w:tc>
          <w:tcPr>
            <w:tcW w:w="488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quota share treaty</w:t>
            </w:r>
          </w:p>
        </w:tc>
        <w:tc>
          <w:tcPr>
            <w:tcW w:w="19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7,500,000</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75"/>
              <w:spacing w:after="0"/>
              <w:rPr>
                <w:sz w:val="20"/>
                <w:szCs w:val="20"/>
                <w:color w:val="auto"/>
              </w:rPr>
            </w:pPr>
            <w:r>
              <w:rPr>
                <w:rFonts w:ascii="Arial" w:cs="Arial" w:eastAsia="Arial" w:hAnsi="Arial"/>
                <w:sz w:val="17"/>
                <w:szCs w:val="17"/>
                <w:color w:val="auto"/>
              </w:rPr>
              <w:t>None</w:t>
            </w:r>
          </w:p>
        </w:tc>
        <w:tc>
          <w:tcPr>
            <w:tcW w:w="3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5,000,000</w:t>
            </w:r>
          </w:p>
        </w:tc>
      </w:tr>
      <w:tr>
        <w:trPr>
          <w:trHeight w:val="209"/>
        </w:trPr>
        <w:tc>
          <w:tcPr>
            <w:tcW w:w="4880" w:type="dxa"/>
            <w:vAlign w:val="bottom"/>
            <w:gridSpan w:val="3"/>
          </w:tcPr>
          <w:p>
            <w:pPr>
              <w:ind w:left="200"/>
              <w:spacing w:after="0"/>
              <w:rPr>
                <w:sz w:val="20"/>
                <w:szCs w:val="20"/>
                <w:color w:val="auto"/>
              </w:rPr>
            </w:pPr>
            <w:r>
              <w:rPr>
                <w:rFonts w:ascii="Arial" w:cs="Arial" w:eastAsia="Arial" w:hAnsi="Arial"/>
                <w:sz w:val="17"/>
                <w:szCs w:val="17"/>
                <w:color w:val="auto"/>
              </w:rPr>
              <w:t>Risk retained per catastrophe</w:t>
            </w:r>
          </w:p>
        </w:tc>
        <w:tc>
          <w:tcPr>
            <w:tcW w:w="1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9"/>
        </w:trPr>
        <w:tc>
          <w:tcPr>
            <w:tcW w:w="488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occurrence (2)</w:t>
            </w:r>
          </w:p>
        </w:tc>
        <w:tc>
          <w:tcPr>
            <w:tcW w:w="19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5,625,000</w:t>
            </w:r>
          </w:p>
        </w:tc>
        <w:tc>
          <w:tcPr>
            <w:tcW w:w="3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7,500,000</w:t>
            </w:r>
          </w:p>
        </w:tc>
        <w:tc>
          <w:tcPr>
            <w:tcW w:w="3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4,500,000</w:t>
            </w:r>
          </w:p>
        </w:tc>
      </w:tr>
      <w:tr>
        <w:trPr>
          <w:trHeight w:val="209"/>
        </w:trPr>
        <w:tc>
          <w:tcPr>
            <w:tcW w:w="4880" w:type="dxa"/>
            <w:vAlign w:val="bottom"/>
            <w:gridSpan w:val="3"/>
          </w:tcPr>
          <w:p>
            <w:pPr>
              <w:ind w:left="200"/>
              <w:spacing w:after="0"/>
              <w:rPr>
                <w:sz w:val="20"/>
                <w:szCs w:val="20"/>
                <w:color w:val="auto"/>
              </w:rPr>
            </w:pPr>
            <w:r>
              <w:rPr>
                <w:rFonts w:ascii="Arial" w:cs="Arial" w:eastAsia="Arial" w:hAnsi="Arial"/>
                <w:sz w:val="17"/>
                <w:szCs w:val="17"/>
                <w:color w:val="auto"/>
              </w:rPr>
              <w:t>Catastrophe loss coverage in excess of</w:t>
            </w:r>
          </w:p>
        </w:tc>
        <w:tc>
          <w:tcPr>
            <w:tcW w:w="1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9"/>
        </w:trPr>
        <w:tc>
          <w:tcPr>
            <w:tcW w:w="488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quota share coverage (3)</w:t>
            </w:r>
          </w:p>
        </w:tc>
        <w:tc>
          <w:tcPr>
            <w:tcW w:w="19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602,500,000</w:t>
            </w:r>
          </w:p>
        </w:tc>
        <w:tc>
          <w:tcPr>
            <w:tcW w:w="3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602,500,000</w:t>
            </w:r>
          </w:p>
        </w:tc>
        <w:tc>
          <w:tcPr>
            <w:tcW w:w="3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445,000,000</w:t>
            </w:r>
          </w:p>
        </w:tc>
      </w:tr>
      <w:tr>
        <w:trPr>
          <w:trHeight w:val="209"/>
        </w:trPr>
        <w:tc>
          <w:tcPr>
            <w:tcW w:w="4880" w:type="dxa"/>
            <w:vAlign w:val="bottom"/>
            <w:gridSpan w:val="3"/>
          </w:tcPr>
          <w:p>
            <w:pPr>
              <w:ind w:left="200"/>
              <w:spacing w:after="0"/>
              <w:rPr>
                <w:sz w:val="20"/>
                <w:szCs w:val="20"/>
                <w:color w:val="auto"/>
              </w:rPr>
            </w:pPr>
            <w:r>
              <w:rPr>
                <w:rFonts w:ascii="Arial" w:cs="Arial" w:eastAsia="Arial" w:hAnsi="Arial"/>
                <w:sz w:val="17"/>
                <w:szCs w:val="17"/>
                <w:color w:val="auto"/>
              </w:rPr>
              <w:t>Reinstatement premium</w:t>
            </w:r>
          </w:p>
        </w:tc>
        <w:tc>
          <w:tcPr>
            <w:tcW w:w="1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9"/>
        </w:trPr>
        <w:tc>
          <w:tcPr>
            <w:tcW w:w="488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protection (4) (5)</w:t>
            </w:r>
          </w:p>
        </w:tc>
        <w:tc>
          <w:tcPr>
            <w:tcW w:w="19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35"/>
              <w:spacing w:after="0"/>
              <w:rPr>
                <w:sz w:val="20"/>
                <w:szCs w:val="20"/>
                <w:color w:val="auto"/>
              </w:rPr>
            </w:pPr>
            <w:r>
              <w:rPr>
                <w:rFonts w:ascii="Arial" w:cs="Arial" w:eastAsia="Arial" w:hAnsi="Arial"/>
                <w:sz w:val="17"/>
                <w:szCs w:val="17"/>
                <w:color w:val="auto"/>
              </w:rPr>
              <w:t>Yes</w:t>
            </w: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35"/>
              <w:spacing w:after="0"/>
              <w:rPr>
                <w:sz w:val="20"/>
                <w:szCs w:val="20"/>
                <w:color w:val="auto"/>
              </w:rPr>
            </w:pPr>
            <w:r>
              <w:rPr>
                <w:rFonts w:ascii="Arial" w:cs="Arial" w:eastAsia="Arial" w:hAnsi="Arial"/>
                <w:sz w:val="17"/>
                <w:szCs w:val="17"/>
                <w:color w:val="auto"/>
              </w:rPr>
              <w:t>Yes</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35"/>
              <w:spacing w:after="0"/>
              <w:rPr>
                <w:sz w:val="20"/>
                <w:szCs w:val="20"/>
                <w:color w:val="auto"/>
              </w:rPr>
            </w:pPr>
            <w:r>
              <w:rPr>
                <w:rFonts w:ascii="Arial" w:cs="Arial" w:eastAsia="Arial" w:hAnsi="Arial"/>
                <w:sz w:val="17"/>
                <w:szCs w:val="17"/>
                <w:color w:val="auto"/>
              </w:rPr>
              <w:t>Yes</w:t>
            </w:r>
          </w:p>
        </w:tc>
      </w:tr>
    </w:tbl>
    <w:p>
      <w:pPr>
        <w:spacing w:after="0" w:line="201" w:lineRule="exact"/>
        <w:rPr>
          <w:sz w:val="20"/>
          <w:szCs w:val="20"/>
          <w:color w:val="auto"/>
        </w:rPr>
      </w:pPr>
    </w:p>
    <w:p>
      <w:pPr>
        <w:ind w:left="640" w:hanging="322"/>
        <w:spacing w:after="0" w:line="260"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For personal lines, includes the addition of an automatic facultative facility allowing KICO to obtain homeowners single risk coverage up to $10,000,000 in total insured value, which covers direct losses from $3,500,000 to $10,000,000.</w:t>
      </w:r>
    </w:p>
    <w:p>
      <w:pPr>
        <w:ind w:left="640" w:hanging="322"/>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Plus losses in excess of catastrophe coverage.</w:t>
      </w:r>
    </w:p>
    <w:p>
      <w:pPr>
        <w:spacing w:after="0" w:line="13" w:lineRule="exact"/>
        <w:rPr>
          <w:rFonts w:ascii="Arial" w:cs="Arial" w:eastAsia="Arial" w:hAnsi="Arial"/>
          <w:sz w:val="17"/>
          <w:szCs w:val="17"/>
          <w:color w:val="auto"/>
        </w:rPr>
      </w:pPr>
    </w:p>
    <w:p>
      <w:pPr>
        <w:ind w:left="640" w:hanging="322"/>
        <w:spacing w:after="0" w:line="256" w:lineRule="auto"/>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Catastrophe coverage is limited on an annual basis to two times the per occurrence amounts. Duration of 168 consecutive hours for a catastrophe occurrence from windstorm, hail, tornado, hurricane and cyclone.</w:t>
      </w:r>
    </w:p>
    <w:p>
      <w:pPr>
        <w:spacing w:after="0" w:line="1" w:lineRule="exact"/>
        <w:rPr>
          <w:rFonts w:ascii="Arial" w:cs="Arial" w:eastAsia="Arial" w:hAnsi="Arial"/>
          <w:sz w:val="17"/>
          <w:szCs w:val="17"/>
          <w:color w:val="auto"/>
        </w:rPr>
      </w:pPr>
    </w:p>
    <w:p>
      <w:pPr>
        <w:ind w:left="640" w:hanging="322"/>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Effective July 1, 2018, reinstatement premium protection for $210,000,000 of catastrophe coverage in excess of $5,000,000.</w:t>
      </w:r>
    </w:p>
    <w:p>
      <w:pPr>
        <w:spacing w:after="0" w:line="13" w:lineRule="exact"/>
        <w:rPr>
          <w:rFonts w:ascii="Arial" w:cs="Arial" w:eastAsia="Arial" w:hAnsi="Arial"/>
          <w:sz w:val="17"/>
          <w:szCs w:val="17"/>
          <w:color w:val="auto"/>
        </w:rPr>
      </w:pPr>
    </w:p>
    <w:p>
      <w:pPr>
        <w:ind w:left="640" w:hanging="322"/>
        <w:spacing w:after="0"/>
        <w:tabs>
          <w:tab w:leader="none" w:pos="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Effective July 1, 2019, reinstatement premium protection for $292,500,000 of catastrophe coverage in excess of $7,500,000.</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549" w:right="339" w:bottom="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176"/>
        </w:trPr>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Treaty Year</w:t>
            </w:r>
          </w:p>
        </w:tc>
        <w:tc>
          <w:tcPr>
            <w:tcW w:w="8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July 1, 2019</w:t>
            </w:r>
          </w:p>
        </w:tc>
        <w:tc>
          <w:tcPr>
            <w:tcW w:w="120" w:type="dxa"/>
            <w:vAlign w:val="bottom"/>
          </w:tcPr>
          <w:p>
            <w:pPr>
              <w:spacing w:after="0"/>
              <w:rPr>
                <w:sz w:val="19"/>
                <w:szCs w:val="19"/>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July 1, 2018</w:t>
            </w:r>
          </w:p>
        </w:tc>
        <w:tc>
          <w:tcPr>
            <w:tcW w:w="0" w:type="dxa"/>
            <w:vAlign w:val="bottom"/>
          </w:tcPr>
          <w:p>
            <w:pPr>
              <w:spacing w:after="0"/>
              <w:rPr>
                <w:sz w:val="1"/>
                <w:szCs w:val="1"/>
                <w:color w:val="auto"/>
              </w:rPr>
            </w:pPr>
          </w:p>
        </w:tc>
      </w:tr>
      <w:tr>
        <w:trPr>
          <w:trHeight w:val="209"/>
        </w:trPr>
        <w:tc>
          <w:tcPr>
            <w:tcW w:w="8680" w:type="dxa"/>
            <w:vAlign w:val="bottom"/>
            <w:gridSpan w:val="3"/>
            <w:vMerge w:val="restart"/>
          </w:tcPr>
          <w:p>
            <w:pPr>
              <w:ind w:left="40"/>
              <w:spacing w:after="0"/>
              <w:rPr>
                <w:sz w:val="20"/>
                <w:szCs w:val="20"/>
                <w:color w:val="auto"/>
              </w:rPr>
            </w:pPr>
            <w:r>
              <w:rPr>
                <w:rFonts w:ascii="Arial" w:cs="Arial" w:eastAsia="Arial" w:hAnsi="Arial"/>
                <w:sz w:val="17"/>
                <w:szCs w:val="17"/>
                <w:b w:val="1"/>
                <w:bCs w:val="1"/>
                <w:color w:val="auto"/>
              </w:rPr>
              <w:t>Line of Business</w:t>
            </w:r>
          </w:p>
        </w:tc>
        <w:tc>
          <w:tcPr>
            <w:tcW w:w="100" w:type="dxa"/>
            <w:vAlign w:val="bottom"/>
          </w:tcPr>
          <w:p>
            <w:pPr>
              <w:spacing w:after="0"/>
              <w:rPr>
                <w:sz w:val="18"/>
                <w:szCs w:val="18"/>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to</w:t>
            </w:r>
          </w:p>
        </w:tc>
        <w:tc>
          <w:tcPr>
            <w:tcW w:w="120" w:type="dxa"/>
            <w:vAlign w:val="bottom"/>
          </w:tcPr>
          <w:p>
            <w:pPr>
              <w:spacing w:after="0"/>
              <w:rPr>
                <w:sz w:val="18"/>
                <w:szCs w:val="18"/>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to</w:t>
            </w:r>
          </w:p>
        </w:tc>
        <w:tc>
          <w:tcPr>
            <w:tcW w:w="0" w:type="dxa"/>
            <w:vAlign w:val="bottom"/>
          </w:tcPr>
          <w:p>
            <w:pPr>
              <w:spacing w:after="0"/>
              <w:rPr>
                <w:sz w:val="1"/>
                <w:szCs w:val="1"/>
                <w:color w:val="auto"/>
              </w:rPr>
            </w:pPr>
          </w:p>
        </w:tc>
      </w:tr>
      <w:tr>
        <w:trPr>
          <w:trHeight w:val="199"/>
        </w:trPr>
        <w:tc>
          <w:tcPr>
            <w:tcW w:w="8680" w:type="dxa"/>
            <w:vAlign w:val="bottom"/>
            <w:gridSpan w:val="3"/>
            <w:vMerge w:val="continue"/>
          </w:tcPr>
          <w:p>
            <w:pPr>
              <w:spacing w:after="0"/>
              <w:rPr>
                <w:sz w:val="17"/>
                <w:szCs w:val="17"/>
                <w:color w:val="auto"/>
              </w:rPr>
            </w:pPr>
          </w:p>
        </w:tc>
        <w:tc>
          <w:tcPr>
            <w:tcW w:w="13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2"/>
              </w:rPr>
              <w:t>June 30, 2020</w:t>
            </w:r>
          </w:p>
        </w:tc>
        <w:tc>
          <w:tcPr>
            <w:tcW w:w="12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June 30, 2019</w:t>
            </w:r>
          </w:p>
        </w:tc>
        <w:tc>
          <w:tcPr>
            <w:tcW w:w="0" w:type="dxa"/>
            <w:vAlign w:val="bottom"/>
          </w:tcPr>
          <w:p>
            <w:pPr>
              <w:spacing w:after="0"/>
              <w:rPr>
                <w:sz w:val="1"/>
                <w:szCs w:val="1"/>
                <w:color w:val="auto"/>
              </w:rPr>
            </w:pPr>
          </w:p>
        </w:tc>
      </w:tr>
      <w:tr>
        <w:trPr>
          <w:trHeight w:val="431"/>
        </w:trPr>
        <w:tc>
          <w:tcPr>
            <w:tcW w:w="106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88"/>
              </w:rPr>
              <w:t>Personal Lines:</w:t>
            </w:r>
          </w:p>
        </w:tc>
        <w:tc>
          <w:tcPr>
            <w:tcW w:w="7620" w:type="dxa"/>
            <w:vAlign w:val="bottom"/>
            <w:gridSpan w:val="2"/>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8680" w:type="dxa"/>
            <w:vAlign w:val="bottom"/>
            <w:gridSpan w:val="3"/>
          </w:tcPr>
          <w:p>
            <w:pPr>
              <w:ind w:left="40"/>
              <w:spacing w:after="0"/>
              <w:rPr>
                <w:sz w:val="20"/>
                <w:szCs w:val="20"/>
                <w:color w:val="auto"/>
              </w:rPr>
            </w:pPr>
            <w:r>
              <w:rPr>
                <w:rFonts w:ascii="Arial" w:cs="Arial" w:eastAsia="Arial" w:hAnsi="Arial"/>
                <w:sz w:val="17"/>
                <w:szCs w:val="17"/>
                <w:color w:val="auto"/>
              </w:rPr>
              <w:t>Personal Umbrella</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8680" w:type="dxa"/>
            <w:vAlign w:val="bottom"/>
            <w:gridSpan w:val="3"/>
          </w:tcPr>
          <w:p>
            <w:pPr>
              <w:ind w:left="200"/>
              <w:spacing w:after="0"/>
              <w:rPr>
                <w:sz w:val="20"/>
                <w:szCs w:val="20"/>
                <w:color w:val="auto"/>
              </w:rPr>
            </w:pPr>
            <w:r>
              <w:rPr>
                <w:rFonts w:ascii="Arial" w:cs="Arial" w:eastAsia="Arial" w:hAnsi="Arial"/>
                <w:sz w:val="17"/>
                <w:szCs w:val="17"/>
                <w:color w:val="auto"/>
              </w:rPr>
              <w:t>Quota share treaty:</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Percent ceded - first $1,000,000 of coverage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90%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9"/>
        </w:trPr>
        <w:tc>
          <w:tcPr>
            <w:tcW w:w="8680" w:type="dxa"/>
            <w:vAlign w:val="bottom"/>
            <w:gridSpan w:val="3"/>
          </w:tcPr>
          <w:p>
            <w:pPr>
              <w:ind w:left="360"/>
              <w:spacing w:after="0"/>
              <w:rPr>
                <w:sz w:val="20"/>
                <w:szCs w:val="20"/>
                <w:color w:val="auto"/>
              </w:rPr>
            </w:pPr>
            <w:r>
              <w:rPr>
                <w:rFonts w:ascii="Arial" w:cs="Arial" w:eastAsia="Arial" w:hAnsi="Arial"/>
                <w:sz w:val="17"/>
                <w:szCs w:val="17"/>
                <w:color w:val="auto"/>
              </w:rPr>
              <w:t>Percent ceded - excess of $1,000,000 dollars of coverage</w:t>
            </w:r>
          </w:p>
        </w:tc>
        <w:tc>
          <w:tcPr>
            <w:tcW w:w="10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100%</w:t>
            </w: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9"/>
        </w:trPr>
        <w:tc>
          <w:tcPr>
            <w:tcW w:w="868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Risk retained</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100,000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100,000</w:t>
            </w:r>
          </w:p>
        </w:tc>
        <w:tc>
          <w:tcPr>
            <w:tcW w:w="0" w:type="dxa"/>
            <w:vAlign w:val="bottom"/>
          </w:tcPr>
          <w:p>
            <w:pPr>
              <w:spacing w:after="0"/>
              <w:rPr>
                <w:sz w:val="1"/>
                <w:szCs w:val="1"/>
                <w:color w:val="auto"/>
              </w:rPr>
            </w:pPr>
          </w:p>
        </w:tc>
      </w:tr>
      <w:tr>
        <w:trPr>
          <w:trHeight w:val="209"/>
        </w:trPr>
        <w:tc>
          <w:tcPr>
            <w:tcW w:w="8680" w:type="dxa"/>
            <w:vAlign w:val="bottom"/>
            <w:gridSpan w:val="3"/>
          </w:tcPr>
          <w:p>
            <w:pPr>
              <w:ind w:left="360"/>
              <w:spacing w:after="0"/>
              <w:rPr>
                <w:sz w:val="20"/>
                <w:szCs w:val="20"/>
                <w:color w:val="auto"/>
              </w:rPr>
            </w:pPr>
            <w:r>
              <w:rPr>
                <w:rFonts w:ascii="Arial" w:cs="Arial" w:eastAsia="Arial" w:hAnsi="Arial"/>
                <w:sz w:val="17"/>
                <w:szCs w:val="17"/>
                <w:color w:val="auto"/>
              </w:rPr>
              <w:t>Total reinsurance coverage per occurrence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tcPr>
          <w:p>
            <w:pPr>
              <w:jc w:val="right"/>
              <w:ind w:right="400"/>
              <w:spacing w:after="0"/>
              <w:rPr>
                <w:sz w:val="20"/>
                <w:szCs w:val="20"/>
                <w:color w:val="auto"/>
              </w:rPr>
            </w:pPr>
            <w:r>
              <w:rPr>
                <w:rFonts w:ascii="Arial" w:cs="Arial" w:eastAsia="Arial" w:hAnsi="Arial"/>
                <w:sz w:val="17"/>
                <w:szCs w:val="17"/>
                <w:color w:val="auto"/>
              </w:rPr>
              <w:t>4,900,000</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4,900,000</w:t>
            </w:r>
          </w:p>
        </w:tc>
        <w:tc>
          <w:tcPr>
            <w:tcW w:w="0" w:type="dxa"/>
            <w:vAlign w:val="bottom"/>
          </w:tcPr>
          <w:p>
            <w:pPr>
              <w:spacing w:after="0"/>
              <w:rPr>
                <w:sz w:val="1"/>
                <w:szCs w:val="1"/>
                <w:color w:val="auto"/>
              </w:rPr>
            </w:pPr>
          </w:p>
        </w:tc>
      </w:tr>
      <w:tr>
        <w:trPr>
          <w:trHeight w:val="209"/>
        </w:trPr>
        <w:tc>
          <w:tcPr>
            <w:tcW w:w="868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Losses per occurrence subject to quota share reinsurance coverage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5,000,000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5,000,000</w:t>
            </w:r>
          </w:p>
        </w:tc>
        <w:tc>
          <w:tcPr>
            <w:tcW w:w="0" w:type="dxa"/>
            <w:vAlign w:val="bottom"/>
          </w:tcPr>
          <w:p>
            <w:pPr>
              <w:spacing w:after="0"/>
              <w:rPr>
                <w:sz w:val="1"/>
                <w:szCs w:val="1"/>
                <w:color w:val="auto"/>
              </w:rPr>
            </w:pPr>
          </w:p>
        </w:tc>
      </w:tr>
      <w:tr>
        <w:trPr>
          <w:trHeight w:val="234"/>
        </w:trPr>
        <w:tc>
          <w:tcPr>
            <w:tcW w:w="8680" w:type="dxa"/>
            <w:vAlign w:val="bottom"/>
            <w:gridSpan w:val="3"/>
          </w:tcPr>
          <w:p>
            <w:pPr>
              <w:ind w:left="200"/>
              <w:spacing w:after="0"/>
              <w:rPr>
                <w:sz w:val="20"/>
                <w:szCs w:val="20"/>
                <w:color w:val="auto"/>
              </w:rPr>
            </w:pPr>
            <w:r>
              <w:rPr>
                <w:rFonts w:ascii="Arial" w:cs="Arial" w:eastAsia="Arial" w:hAnsi="Arial"/>
                <w:sz w:val="17"/>
                <w:szCs w:val="17"/>
                <w:color w:val="auto"/>
              </w:rPr>
              <w:t>Expiration date</w:t>
            </w:r>
          </w:p>
        </w:tc>
        <w:tc>
          <w:tcPr>
            <w:tcW w:w="10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7"/>
                <w:szCs w:val="17"/>
                <w:color w:val="auto"/>
                <w:w w:val="90"/>
              </w:rPr>
              <w:t>June 30, 2020</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w w:val="90"/>
              </w:rPr>
              <w:t>June 30, 2019</w:t>
            </w:r>
          </w:p>
        </w:tc>
        <w:tc>
          <w:tcPr>
            <w:tcW w:w="0" w:type="dxa"/>
            <w:vAlign w:val="bottom"/>
          </w:tcPr>
          <w:p>
            <w:pPr>
              <w:spacing w:after="0"/>
              <w:rPr>
                <w:sz w:val="1"/>
                <w:szCs w:val="1"/>
                <w:color w:val="auto"/>
              </w:rPr>
            </w:pPr>
          </w:p>
        </w:tc>
      </w:tr>
      <w:tr>
        <w:trPr>
          <w:trHeight w:val="210"/>
        </w:trPr>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1320" w:type="dxa"/>
            <w:vAlign w:val="bottom"/>
            <w:tcBorders>
              <w:bottom w:val="single" w:sz="8" w:color="auto"/>
            </w:tcBorders>
            <w:gridSpan w:val="2"/>
          </w:tcPr>
          <w:p>
            <w:pPr>
              <w:spacing w:after="0" w:line="170" w:lineRule="exact"/>
              <w:rPr>
                <w:sz w:val="20"/>
                <w:szCs w:val="20"/>
                <w:color w:val="auto"/>
              </w:rPr>
            </w:pPr>
            <w:r>
              <w:rPr>
                <w:rFonts w:ascii="Arial" w:cs="Arial" w:eastAsia="Arial" w:hAnsi="Arial"/>
                <w:sz w:val="17"/>
                <w:szCs w:val="17"/>
                <w:color w:val="auto"/>
                <w:w w:val="92"/>
              </w:rPr>
              <w:t>Commercial Lines:</w:t>
            </w:r>
          </w:p>
        </w:tc>
        <w:tc>
          <w:tcPr>
            <w:tcW w:w="7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868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General liability commercial policies</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680" w:type="dxa"/>
            <w:vAlign w:val="bottom"/>
            <w:gridSpan w:val="3"/>
          </w:tcPr>
          <w:p>
            <w:pPr>
              <w:ind w:left="200"/>
              <w:spacing w:after="0"/>
              <w:rPr>
                <w:sz w:val="20"/>
                <w:szCs w:val="20"/>
                <w:color w:val="auto"/>
              </w:rPr>
            </w:pPr>
            <w:r>
              <w:rPr>
                <w:rFonts w:ascii="Arial" w:cs="Arial" w:eastAsia="Arial" w:hAnsi="Arial"/>
                <w:sz w:val="17"/>
                <w:szCs w:val="17"/>
                <w:color w:val="auto"/>
              </w:rPr>
              <w:t>Quota share treaty</w:t>
            </w:r>
          </w:p>
        </w:tc>
        <w:tc>
          <w:tcPr>
            <w:tcW w:w="10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7"/>
                <w:szCs w:val="17"/>
                <w:color w:val="auto"/>
              </w:rPr>
              <w:t>None</w:t>
            </w:r>
          </w:p>
        </w:tc>
        <w:tc>
          <w:tcPr>
            <w:tcW w:w="12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7"/>
                <w:szCs w:val="17"/>
                <w:color w:val="auto"/>
              </w:rPr>
              <w:t>None</w:t>
            </w:r>
          </w:p>
        </w:tc>
        <w:tc>
          <w:tcPr>
            <w:tcW w:w="0" w:type="dxa"/>
            <w:vAlign w:val="bottom"/>
          </w:tcPr>
          <w:p>
            <w:pPr>
              <w:spacing w:after="0"/>
              <w:rPr>
                <w:sz w:val="1"/>
                <w:szCs w:val="1"/>
                <w:color w:val="auto"/>
              </w:rPr>
            </w:pPr>
          </w:p>
        </w:tc>
      </w:tr>
      <w:tr>
        <w:trPr>
          <w:trHeight w:val="209"/>
        </w:trPr>
        <w:tc>
          <w:tcPr>
            <w:tcW w:w="868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Risk retained</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750,000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750,000</w:t>
            </w:r>
          </w:p>
        </w:tc>
        <w:tc>
          <w:tcPr>
            <w:tcW w:w="0" w:type="dxa"/>
            <w:vAlign w:val="bottom"/>
          </w:tcPr>
          <w:p>
            <w:pPr>
              <w:spacing w:after="0"/>
              <w:rPr>
                <w:sz w:val="1"/>
                <w:szCs w:val="1"/>
                <w:color w:val="auto"/>
              </w:rPr>
            </w:pPr>
          </w:p>
        </w:tc>
      </w:tr>
      <w:tr>
        <w:trPr>
          <w:trHeight w:val="209"/>
        </w:trPr>
        <w:tc>
          <w:tcPr>
            <w:tcW w:w="8680" w:type="dxa"/>
            <w:vAlign w:val="bottom"/>
            <w:gridSpan w:val="3"/>
          </w:tcPr>
          <w:p>
            <w:pPr>
              <w:ind w:left="200"/>
              <w:spacing w:after="0"/>
              <w:rPr>
                <w:sz w:val="20"/>
                <w:szCs w:val="20"/>
                <w:color w:val="auto"/>
              </w:rPr>
            </w:pPr>
            <w:r>
              <w:rPr>
                <w:rFonts w:ascii="Arial" w:cs="Arial" w:eastAsia="Arial" w:hAnsi="Arial"/>
                <w:sz w:val="17"/>
                <w:szCs w:val="17"/>
                <w:color w:val="auto"/>
              </w:rPr>
              <w:t>Excess of loss coverage above risk retained</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tcPr>
          <w:p>
            <w:pPr>
              <w:jc w:val="right"/>
              <w:ind w:right="400"/>
              <w:spacing w:after="0"/>
              <w:rPr>
                <w:sz w:val="20"/>
                <w:szCs w:val="20"/>
                <w:color w:val="auto"/>
              </w:rPr>
            </w:pPr>
            <w:r>
              <w:rPr>
                <w:rFonts w:ascii="Arial" w:cs="Arial" w:eastAsia="Arial" w:hAnsi="Arial"/>
                <w:sz w:val="17"/>
                <w:szCs w:val="17"/>
                <w:color w:val="auto"/>
              </w:rPr>
              <w:t>3,750,000</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3,750,000</w:t>
            </w:r>
          </w:p>
        </w:tc>
        <w:tc>
          <w:tcPr>
            <w:tcW w:w="0" w:type="dxa"/>
            <w:vAlign w:val="bottom"/>
          </w:tcPr>
          <w:p>
            <w:pPr>
              <w:spacing w:after="0"/>
              <w:rPr>
                <w:sz w:val="1"/>
                <w:szCs w:val="1"/>
                <w:color w:val="auto"/>
              </w:rPr>
            </w:pPr>
          </w:p>
        </w:tc>
      </w:tr>
      <w:tr>
        <w:trPr>
          <w:trHeight w:val="209"/>
        </w:trPr>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89"/>
              </w:rPr>
              <w:t>in excess of</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w w:val="86"/>
              </w:rPr>
              <w:t>in excess of</w:t>
            </w:r>
          </w:p>
        </w:tc>
        <w:tc>
          <w:tcPr>
            <w:tcW w:w="0" w:type="dxa"/>
            <w:vAlign w:val="bottom"/>
          </w:tcPr>
          <w:p>
            <w:pPr>
              <w:spacing w:after="0"/>
              <w:rPr>
                <w:sz w:val="1"/>
                <w:szCs w:val="1"/>
                <w:color w:val="auto"/>
              </w:rPr>
            </w:pPr>
          </w:p>
        </w:tc>
      </w:tr>
      <w:tr>
        <w:trPr>
          <w:trHeight w:val="209"/>
        </w:trPr>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tcPr>
          <w:p>
            <w:pPr>
              <w:jc w:val="right"/>
              <w:ind w:right="400"/>
              <w:spacing w:after="0"/>
              <w:rPr>
                <w:sz w:val="20"/>
                <w:szCs w:val="20"/>
                <w:color w:val="auto"/>
              </w:rPr>
            </w:pPr>
            <w:r>
              <w:rPr>
                <w:rFonts w:ascii="Arial" w:cs="Arial" w:eastAsia="Arial" w:hAnsi="Arial"/>
                <w:sz w:val="17"/>
                <w:szCs w:val="17"/>
                <w:color w:val="auto"/>
              </w:rPr>
              <w:t>750,000</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750,000</w:t>
            </w:r>
          </w:p>
        </w:tc>
        <w:tc>
          <w:tcPr>
            <w:tcW w:w="0" w:type="dxa"/>
            <w:vAlign w:val="bottom"/>
          </w:tcPr>
          <w:p>
            <w:pPr>
              <w:spacing w:after="0"/>
              <w:rPr>
                <w:sz w:val="1"/>
                <w:szCs w:val="1"/>
                <w:color w:val="auto"/>
              </w:rPr>
            </w:pPr>
          </w:p>
        </w:tc>
      </w:tr>
      <w:tr>
        <w:trPr>
          <w:trHeight w:val="209"/>
        </w:trPr>
        <w:tc>
          <w:tcPr>
            <w:tcW w:w="868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Total reinsurance coverage per occurrence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3,750,000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3,750,000</w:t>
            </w:r>
          </w:p>
        </w:tc>
        <w:tc>
          <w:tcPr>
            <w:tcW w:w="0" w:type="dxa"/>
            <w:vAlign w:val="bottom"/>
          </w:tcPr>
          <w:p>
            <w:pPr>
              <w:spacing w:after="0"/>
              <w:rPr>
                <w:sz w:val="1"/>
                <w:szCs w:val="1"/>
                <w:color w:val="auto"/>
              </w:rPr>
            </w:pPr>
          </w:p>
        </w:tc>
      </w:tr>
      <w:tr>
        <w:trPr>
          <w:trHeight w:val="209"/>
        </w:trPr>
        <w:tc>
          <w:tcPr>
            <w:tcW w:w="8680" w:type="dxa"/>
            <w:vAlign w:val="bottom"/>
            <w:gridSpan w:val="3"/>
          </w:tcPr>
          <w:p>
            <w:pPr>
              <w:ind w:left="40"/>
              <w:spacing w:after="0"/>
              <w:rPr>
                <w:sz w:val="20"/>
                <w:szCs w:val="20"/>
                <w:color w:val="auto"/>
              </w:rPr>
            </w:pPr>
            <w:r>
              <w:rPr>
                <w:rFonts w:ascii="Arial" w:cs="Arial" w:eastAsia="Arial" w:hAnsi="Arial"/>
                <w:sz w:val="17"/>
                <w:szCs w:val="17"/>
                <w:color w:val="auto"/>
              </w:rPr>
              <w:t>Losses per occurrence subject to reinsurance coverage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gridSpan w:val="2"/>
          </w:tcPr>
          <w:p>
            <w:pPr>
              <w:jc w:val="right"/>
              <w:ind w:right="400"/>
              <w:spacing w:after="0"/>
              <w:rPr>
                <w:sz w:val="20"/>
                <w:szCs w:val="20"/>
                <w:color w:val="auto"/>
              </w:rPr>
            </w:pPr>
            <w:r>
              <w:rPr>
                <w:rFonts w:ascii="Arial" w:cs="Arial" w:eastAsia="Arial" w:hAnsi="Arial"/>
                <w:sz w:val="17"/>
                <w:szCs w:val="17"/>
                <w:color w:val="auto"/>
              </w:rPr>
              <w:t>4,500,000</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4,500,000</w:t>
            </w:r>
          </w:p>
        </w:tc>
        <w:tc>
          <w:tcPr>
            <w:tcW w:w="0" w:type="dxa"/>
            <w:vAlign w:val="bottom"/>
          </w:tcPr>
          <w:p>
            <w:pPr>
              <w:spacing w:after="0"/>
              <w:rPr>
                <w:sz w:val="1"/>
                <w:szCs w:val="1"/>
                <w:color w:val="auto"/>
              </w:rPr>
            </w:pPr>
          </w:p>
        </w:tc>
      </w:tr>
      <w:tr>
        <w:trPr>
          <w:trHeight w:val="209"/>
        </w:trPr>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gridSpan w:val="3"/>
          </w:tcPr>
          <w:p>
            <w:pPr>
              <w:ind w:left="40"/>
              <w:spacing w:after="0"/>
              <w:rPr>
                <w:sz w:val="20"/>
                <w:szCs w:val="20"/>
                <w:color w:val="auto"/>
              </w:rPr>
            </w:pPr>
            <w:r>
              <w:rPr>
                <w:rFonts w:ascii="Arial" w:cs="Arial" w:eastAsia="Arial" w:hAnsi="Arial"/>
                <w:sz w:val="17"/>
                <w:szCs w:val="17"/>
                <w:color w:val="auto"/>
              </w:rPr>
              <w:t>Commercial Umbrella</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Quota share treaty: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460"/>
              <w:spacing w:after="0"/>
              <w:rPr>
                <w:sz w:val="20"/>
                <w:szCs w:val="20"/>
                <w:color w:val="auto"/>
              </w:rPr>
            </w:pPr>
            <w:r>
              <w:rPr>
                <w:rFonts w:ascii="Arial" w:cs="Arial" w:eastAsia="Arial" w:hAnsi="Arial"/>
                <w:sz w:val="17"/>
                <w:szCs w:val="17"/>
                <w:color w:val="auto"/>
                <w:w w:val="93"/>
              </w:rPr>
              <w:t>None</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gridSpan w:val="3"/>
          </w:tcPr>
          <w:p>
            <w:pPr>
              <w:ind w:left="360"/>
              <w:spacing w:after="0"/>
              <w:rPr>
                <w:sz w:val="20"/>
                <w:szCs w:val="20"/>
                <w:color w:val="auto"/>
              </w:rPr>
            </w:pPr>
            <w:r>
              <w:rPr>
                <w:rFonts w:ascii="Arial" w:cs="Arial" w:eastAsia="Arial" w:hAnsi="Arial"/>
                <w:sz w:val="17"/>
                <w:szCs w:val="17"/>
                <w:color w:val="auto"/>
              </w:rPr>
              <w:t>Percent ceded - first $1,000,000 of coverage</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9"/>
        </w:trPr>
        <w:tc>
          <w:tcPr>
            <w:tcW w:w="868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Percent ceded - excess of $1,000,000 of coverage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9"/>
        </w:trPr>
        <w:tc>
          <w:tcPr>
            <w:tcW w:w="8680" w:type="dxa"/>
            <w:vAlign w:val="bottom"/>
            <w:gridSpan w:val="3"/>
          </w:tcPr>
          <w:p>
            <w:pPr>
              <w:ind w:left="360"/>
              <w:spacing w:after="0"/>
              <w:rPr>
                <w:sz w:val="20"/>
                <w:szCs w:val="20"/>
                <w:color w:val="auto"/>
              </w:rPr>
            </w:pPr>
            <w:r>
              <w:rPr>
                <w:rFonts w:ascii="Arial" w:cs="Arial" w:eastAsia="Arial" w:hAnsi="Arial"/>
                <w:sz w:val="17"/>
                <w:szCs w:val="17"/>
                <w:color w:val="auto"/>
              </w:rPr>
              <w:t>Risk retained</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100,000</w:t>
            </w:r>
          </w:p>
        </w:tc>
        <w:tc>
          <w:tcPr>
            <w:tcW w:w="0" w:type="dxa"/>
            <w:vAlign w:val="bottom"/>
          </w:tcPr>
          <w:p>
            <w:pPr>
              <w:spacing w:after="0"/>
              <w:rPr>
                <w:sz w:val="1"/>
                <w:szCs w:val="1"/>
                <w:color w:val="auto"/>
              </w:rPr>
            </w:pPr>
          </w:p>
        </w:tc>
      </w:tr>
      <w:tr>
        <w:trPr>
          <w:trHeight w:val="209"/>
        </w:trPr>
        <w:tc>
          <w:tcPr>
            <w:tcW w:w="868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Total reinsurance coverage per occurrence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4,900,000</w:t>
            </w:r>
          </w:p>
        </w:tc>
        <w:tc>
          <w:tcPr>
            <w:tcW w:w="0" w:type="dxa"/>
            <w:vAlign w:val="bottom"/>
          </w:tcPr>
          <w:p>
            <w:pPr>
              <w:spacing w:after="0"/>
              <w:rPr>
                <w:sz w:val="1"/>
                <w:szCs w:val="1"/>
                <w:color w:val="auto"/>
              </w:rPr>
            </w:pPr>
          </w:p>
        </w:tc>
      </w:tr>
      <w:tr>
        <w:trPr>
          <w:trHeight w:val="209"/>
        </w:trPr>
        <w:tc>
          <w:tcPr>
            <w:tcW w:w="8680" w:type="dxa"/>
            <w:vAlign w:val="bottom"/>
            <w:gridSpan w:val="3"/>
          </w:tcPr>
          <w:p>
            <w:pPr>
              <w:ind w:left="360"/>
              <w:spacing w:after="0"/>
              <w:rPr>
                <w:sz w:val="20"/>
                <w:szCs w:val="20"/>
                <w:color w:val="auto"/>
              </w:rPr>
            </w:pPr>
            <w:r>
              <w:rPr>
                <w:rFonts w:ascii="Arial" w:cs="Arial" w:eastAsia="Arial" w:hAnsi="Arial"/>
                <w:sz w:val="17"/>
                <w:szCs w:val="17"/>
                <w:color w:val="auto"/>
              </w:rPr>
              <w:t>Losses per occurrence subject to quota share reinsurance coverage</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5,000,000</w:t>
            </w:r>
          </w:p>
        </w:tc>
        <w:tc>
          <w:tcPr>
            <w:tcW w:w="0" w:type="dxa"/>
            <w:vAlign w:val="bottom"/>
          </w:tcPr>
          <w:p>
            <w:pPr>
              <w:spacing w:after="0"/>
              <w:rPr>
                <w:sz w:val="1"/>
                <w:szCs w:val="1"/>
                <w:color w:val="auto"/>
              </w:rPr>
            </w:pPr>
          </w:p>
        </w:tc>
      </w:tr>
      <w:tr>
        <w:trPr>
          <w:trHeight w:val="235"/>
        </w:trPr>
        <w:tc>
          <w:tcPr>
            <w:tcW w:w="8680" w:type="dxa"/>
            <w:vAlign w:val="bottom"/>
            <w:gridSpan w:val="3"/>
            <w:shd w:val="clear" w:color="auto" w:fill="CCEEFF"/>
          </w:tcPr>
          <w:p>
            <w:pPr>
              <w:ind w:left="200"/>
              <w:spacing w:after="0"/>
              <w:rPr>
                <w:sz w:val="20"/>
                <w:szCs w:val="20"/>
                <w:color w:val="auto"/>
              </w:rPr>
            </w:pPr>
            <w:r>
              <w:rPr>
                <w:rFonts w:ascii="Arial" w:cs="Arial" w:eastAsia="Arial" w:hAnsi="Arial"/>
                <w:sz w:val="17"/>
                <w:szCs w:val="17"/>
                <w:color w:val="auto"/>
              </w:rPr>
              <w:t>Expiration date</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90"/>
              </w:rPr>
              <w:t>June 30, 2019</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Company’s reinsurance program has been structured to enable the Company to grow its premium volume while maintaining regulatory capital and other financial ratios generally within or below the expected ranges used for regulatory oversight purposes. The reinsurance program also provides income as a result of ceding commissions earned pursuant to the quota share reinsurance contracts. The Company’s participation in reinsurance arrangements does not relieve the Company of its obligations to policyholders.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Ceding Commission Revenue</w:t>
      </w:r>
    </w:p>
    <w:p>
      <w:pPr>
        <w:spacing w:after="0" w:line="223"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Company earns ceding commission revenue under its quota share reinsurance agreements based on: (i) a fixed provisional commission rate at which provisional ceding commissions are earned, and (ii) a sliding scale of commission rates and ultimate treaty year loss ratios on the policies reinsured under each of these agreements based upon which contingent ceding commissions are earned. The sliding scale includes minimum and maximum commission rates in relation to specified ultimate loss ratios. The commission rate and contingent ceding commissions earned increases when the estimated ultimate loss ratio decreases and, conversely, the commission rate and contingent ceding commissions earned decreases when the estimated ultimate loss ratio increases.</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Company’s estimated ultimate treaty year loss ratios (the “Loss Ratio(s)”) for treaties in effect during the three months ended March 31, 2020 are attributable to contracts under the 2019/2020 Treaty. The Loss Ratios for treaties in effect for the three months ended March 31, 2019 are attributable to contracts under the 2017/2019 Treaty for the 2018/2019 Treaty Year, which expired on June 30, 2019 and was not renewed.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597" w:right="339" w:bottom="1440" w:gutter="0" w:footer="0" w:header="0"/>
        </w:sectPr>
      </w:pPr>
    </w:p>
    <w:bookmarkStart w:id="24" w:name="page25"/>
    <w:bookmarkEnd w:id="24"/>
    <w:p>
      <w:pPr>
        <w:jc w:val="both"/>
        <w:spacing w:after="0" w:line="264" w:lineRule="auto"/>
        <w:rPr>
          <w:sz w:val="20"/>
          <w:szCs w:val="20"/>
          <w:color w:val="auto"/>
        </w:rPr>
      </w:pPr>
      <w:r>
        <w:rPr>
          <w:rFonts w:ascii="Arial" w:cs="Arial" w:eastAsia="Arial" w:hAnsi="Arial"/>
          <w:sz w:val="17"/>
          <w:szCs w:val="17"/>
          <w:color w:val="auto"/>
        </w:rPr>
        <w:t>Under the 2019/2020 Treaty and the 2017/2019 Treaty for the 2018/2019 Treaty Year, the Company received an upfront fixed provisional rate that is not subject to a sliding scale contingent adjustment. In addition to the treaties that were in effect during the three months ended March 31, 2020 and 2019, the Loss Ratios from prior years’ treaties are subject to change as incurred losses from those periods increase or decrease, resulting in an increase or decrease in the commission rate and contingent ceding commissions earned.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Ceding commission revenue consists of the following:</w:t>
      </w:r>
    </w:p>
    <w:p>
      <w:pPr>
        <w:spacing w:after="0" w:line="218" w:lineRule="exact"/>
        <w:rPr>
          <w:sz w:val="20"/>
          <w:szCs w:val="20"/>
          <w:color w:val="auto"/>
        </w:rPr>
      </w:pPr>
    </w:p>
    <w:p>
      <w:pPr>
        <w:ind w:left="9280"/>
        <w:spacing w:after="0"/>
        <w:rPr>
          <w:sz w:val="20"/>
          <w:szCs w:val="20"/>
          <w:color w:val="auto"/>
        </w:rPr>
      </w:pPr>
      <w:r>
        <w:rPr>
          <w:rFonts w:ascii="Arial" w:cs="Arial" w:eastAsia="Arial" w:hAnsi="Arial"/>
          <w:sz w:val="14"/>
          <w:szCs w:val="14"/>
          <w:b w:val="1"/>
          <w:bCs w:val="1"/>
          <w:color w:val="auto"/>
        </w:rPr>
        <w:t>Three months ended</w:t>
      </w:r>
    </w:p>
    <w:p>
      <w:pPr>
        <w:spacing w:after="0" w:line="5" w:lineRule="exact"/>
        <w:rPr>
          <w:sz w:val="20"/>
          <w:szCs w:val="20"/>
          <w:color w:val="auto"/>
        </w:rPr>
      </w:pPr>
    </w:p>
    <w:p>
      <w:pPr>
        <w:ind w:left="958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69"/>
        </w:trPr>
        <w:tc>
          <w:tcPr>
            <w:tcW w:w="86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235"/>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8680" w:type="dxa"/>
            <w:vAlign w:val="bottom"/>
            <w:shd w:val="clear" w:color="auto" w:fill="CCEEFF"/>
          </w:tcPr>
          <w:p>
            <w:pPr>
              <w:ind w:left="40"/>
              <w:spacing w:after="0"/>
              <w:rPr>
                <w:sz w:val="20"/>
                <w:szCs w:val="20"/>
                <w:color w:val="auto"/>
              </w:rPr>
            </w:pPr>
            <w:r>
              <w:rPr>
                <w:rFonts w:ascii="Arial" w:cs="Arial" w:eastAsia="Arial" w:hAnsi="Arial"/>
                <w:sz w:val="17"/>
                <w:szCs w:val="17"/>
                <w:color w:val="auto"/>
              </w:rPr>
              <w:t>Provisional ceding commissions earned</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3,720,360</w:t>
            </w:r>
          </w:p>
        </w:tc>
        <w:tc>
          <w:tcPr>
            <w:tcW w:w="52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1,317,751</w:t>
            </w:r>
          </w:p>
        </w:tc>
        <w:tc>
          <w:tcPr>
            <w:tcW w:w="120" w:type="dxa"/>
            <w:vAlign w:val="bottom"/>
            <w:shd w:val="clear" w:color="auto" w:fill="CCEEFF"/>
          </w:tcPr>
          <w:p>
            <w:pPr>
              <w:spacing w:after="0"/>
              <w:rPr>
                <w:sz w:val="18"/>
                <w:szCs w:val="18"/>
                <w:color w:val="auto"/>
              </w:rPr>
            </w:pPr>
          </w:p>
        </w:tc>
      </w:tr>
      <w:tr>
        <w:trPr>
          <w:trHeight w:val="215"/>
        </w:trPr>
        <w:tc>
          <w:tcPr>
            <w:tcW w:w="8680" w:type="dxa"/>
            <w:vAlign w:val="bottom"/>
          </w:tcPr>
          <w:p>
            <w:pPr>
              <w:ind w:left="40"/>
              <w:spacing w:after="0"/>
              <w:rPr>
                <w:sz w:val="20"/>
                <w:szCs w:val="20"/>
                <w:color w:val="auto"/>
              </w:rPr>
            </w:pPr>
            <w:r>
              <w:rPr>
                <w:rFonts w:ascii="Arial" w:cs="Arial" w:eastAsia="Arial" w:hAnsi="Arial"/>
                <w:sz w:val="17"/>
                <w:szCs w:val="17"/>
                <w:color w:val="auto"/>
              </w:rPr>
              <w:t>Contingent ceding commissions earned</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110,739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(40,068)</w:t>
            </w:r>
          </w:p>
        </w:tc>
      </w:tr>
      <w:tr>
        <w:trPr>
          <w:trHeight w:val="249"/>
        </w:trPr>
        <w:tc>
          <w:tcPr>
            <w:tcW w:w="86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3,831,099</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1,277,683</w:t>
            </w:r>
          </w:p>
        </w:tc>
        <w:tc>
          <w:tcPr>
            <w:tcW w:w="120" w:type="dxa"/>
            <w:vAlign w:val="bottom"/>
            <w:tcBorders>
              <w:bottom w:val="single" w:sz="8" w:color="CCEEFF"/>
            </w:tcBorders>
            <w:shd w:val="clear" w:color="auto" w:fill="CCEEFF"/>
          </w:tcPr>
          <w:p>
            <w:pPr>
              <w:spacing w:after="0"/>
              <w:rPr>
                <w:sz w:val="21"/>
                <w:szCs w:val="21"/>
                <w:color w:val="auto"/>
              </w:rPr>
            </w:pPr>
          </w:p>
        </w:tc>
      </w:tr>
    </w:tbl>
    <w:p>
      <w:pPr>
        <w:spacing w:after="0" w:line="201"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Provisional ceding commissions are settled monthly. Balances due from reinsurers for contingent ceding commissions on quota share treaties are settled annually based on the Loss Ratio of each treaty year that ends on June 30. As discussed above, the Loss Ratios from prior years’ treaties are subject to change as incurred losses from those periods develop, resulting in an increase or decrease in the commission rate and contingent ceding commissions earned. As of March 31, 2020 and December 31, 2019, net contingent ceding commissions payable to reinsurers under all treaties was approximately $2,775,000 and $2,886,000, respectively, which is recorded in reinsurance balances payable on the accompanying condensed consolidated balance sheets.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 Debt</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Federal Home Loan Bank</w:t>
      </w:r>
    </w:p>
    <w:p>
      <w:pPr>
        <w:spacing w:after="0" w:line="223"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 July 2017, KICO became a member of, and invested in, the Federal Home Loan Bank of New York (“FHLBNY”). The aggregate fair value of the investment in dividend bearing common stock was $15,500 and $15,180 as of March 31, 2020 and December 31, 2019, respectively. FHLBNY members have access to a variety of flexible, low cost funding through FHLBNY’s credit products, enabling members to customize advances, which are to be fully collateralized. Eligible collateral to pledge to FHLBNY includes residential and commercial mortgage backed securities, along with U.S. Treasury and agency securities. See Note 3 – Investments for eligible collateral held in a designated custodian account available for future advances. Advances are limited to 5% of KICO’s net admitted assets as of the previous quarter and are due and payable within one year of borrowing. The maximum allowable advance as of March 31, 2020 was approximately $12,379,000. Advances are limited to 90% of the amount of available collateral, which was approximately $6,558,000 as of March 31, 2020. There were no borrowings under this facility during the three months ended March 31, 2020 and 2019.</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u w:val="single" w:color="auto"/>
          <w:color w:val="auto"/>
        </w:rPr>
        <w:t>Long-term Debt</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On December 19, 2017, the Company issued $30 million of its 5.50% Senior Unsecured Notes due December 30, 2022 (the “Notes”) in an underwritten public offering. Interest is payable semi-annually in arrears on June 30 and December 30 of each year, which began on June 30, 2018 at the rate of 5.50% per annum. The net proceeds of the issuance were $29,121,630, net of discount of $163,200 and transaction costs of $715,170, for an effective yield of 5.67% per annum. The balance of long-term debt as of March 31, 2020 and December 31, 2019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r>
      <w:tr>
        <w:trPr>
          <w:trHeight w:val="199"/>
        </w:trPr>
        <w:tc>
          <w:tcPr>
            <w:tcW w:w="86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r>
      <w:tr>
        <w:trPr>
          <w:trHeight w:val="235"/>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8680" w:type="dxa"/>
            <w:vAlign w:val="bottom"/>
            <w:shd w:val="clear" w:color="auto" w:fill="CCEEFF"/>
          </w:tcPr>
          <w:p>
            <w:pPr>
              <w:ind w:left="40"/>
              <w:spacing w:after="0"/>
              <w:rPr>
                <w:sz w:val="20"/>
                <w:szCs w:val="20"/>
                <w:color w:val="auto"/>
              </w:rPr>
            </w:pPr>
            <w:r>
              <w:rPr>
                <w:rFonts w:ascii="Arial" w:cs="Arial" w:eastAsia="Arial" w:hAnsi="Arial"/>
                <w:sz w:val="17"/>
                <w:szCs w:val="17"/>
                <w:color w:val="auto"/>
              </w:rPr>
              <w:t>5.50% Senior Unsecured Notes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30,000,000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30,000,000</w:t>
            </w:r>
          </w:p>
        </w:tc>
        <w:tc>
          <w:tcPr>
            <w:tcW w:w="120" w:type="dxa"/>
            <w:vAlign w:val="bottom"/>
            <w:shd w:val="clear" w:color="auto" w:fill="CCEEFF"/>
          </w:tcPr>
          <w:p>
            <w:pPr>
              <w:spacing w:after="0"/>
              <w:rPr>
                <w:sz w:val="18"/>
                <w:szCs w:val="18"/>
                <w:color w:val="auto"/>
              </w:rPr>
            </w:pPr>
          </w:p>
        </w:tc>
      </w:tr>
      <w:tr>
        <w:trPr>
          <w:trHeight w:val="209"/>
        </w:trPr>
        <w:tc>
          <w:tcPr>
            <w:tcW w:w="8680" w:type="dxa"/>
            <w:vAlign w:val="bottom"/>
          </w:tcPr>
          <w:p>
            <w:pPr>
              <w:ind w:left="40"/>
              <w:spacing w:after="0"/>
              <w:rPr>
                <w:sz w:val="20"/>
                <w:szCs w:val="20"/>
                <w:color w:val="auto"/>
              </w:rPr>
            </w:pPr>
            <w:r>
              <w:rPr>
                <w:rFonts w:ascii="Arial" w:cs="Arial" w:eastAsia="Arial" w:hAnsi="Arial"/>
                <w:sz w:val="17"/>
                <w:szCs w:val="17"/>
                <w:color w:val="auto"/>
              </w:rPr>
              <w:t>Discount</w:t>
            </w: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(89,244)</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(97,325)</w:t>
            </w:r>
          </w:p>
        </w:tc>
      </w:tr>
      <w:tr>
        <w:trPr>
          <w:trHeight w:val="215"/>
        </w:trPr>
        <w:tc>
          <w:tcPr>
            <w:tcW w:w="8680" w:type="dxa"/>
            <w:vAlign w:val="bottom"/>
            <w:shd w:val="clear" w:color="auto" w:fill="CCEEFF"/>
          </w:tcPr>
          <w:p>
            <w:pPr>
              <w:ind w:left="40"/>
              <w:spacing w:after="0"/>
              <w:rPr>
                <w:sz w:val="20"/>
                <w:szCs w:val="20"/>
                <w:color w:val="auto"/>
              </w:rPr>
            </w:pPr>
            <w:r>
              <w:rPr>
                <w:rFonts w:ascii="Arial" w:cs="Arial" w:eastAsia="Arial" w:hAnsi="Arial"/>
                <w:sz w:val="17"/>
                <w:szCs w:val="17"/>
                <w:color w:val="auto"/>
              </w:rPr>
              <w:t>Issuance costs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(395,280)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(431,244)</w:t>
            </w:r>
          </w:p>
        </w:tc>
      </w:tr>
      <w:tr>
        <w:trPr>
          <w:trHeight w:val="209"/>
        </w:trPr>
        <w:tc>
          <w:tcPr>
            <w:tcW w:w="8680" w:type="dxa"/>
            <w:vAlign w:val="bottom"/>
            <w:tcBorders>
              <w:top w:val="single" w:sz="8" w:color="CCEEFF"/>
            </w:tcBorders>
          </w:tcPr>
          <w:p>
            <w:pPr>
              <w:ind w:left="40"/>
              <w:spacing w:after="0"/>
              <w:rPr>
                <w:sz w:val="20"/>
                <w:szCs w:val="20"/>
                <w:color w:val="auto"/>
              </w:rPr>
            </w:pPr>
            <w:r>
              <w:rPr>
                <w:rFonts w:ascii="Arial" w:cs="Arial" w:eastAsia="Arial" w:hAnsi="Arial"/>
                <w:sz w:val="17"/>
                <w:szCs w:val="17"/>
                <w:color w:val="auto"/>
              </w:rPr>
              <w:t>Long-term debt,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29,515,476</w:t>
            </w: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29,471,431</w:t>
            </w:r>
          </w:p>
        </w:tc>
        <w:tc>
          <w:tcPr>
            <w:tcW w:w="12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The Notes are unsecured obligations of the Company and are not the obligations of or guaranteed by any of the Company's subsidiaries. The Notes rank senior in right of payment to any of the Company's existing and future indebtedness that is by its terms expressly subordinated or junior in right of payment to the Notes. The Notes rank equally in right of payment to all of the Company's existing and future senior indebtedness, but will be effectively subordinated to any secured indebtedness to the extent of the value of the collateral securing such secured indebtedness. In addition, the Notes will be structurally subordinated to the indebtedness and other obligations of the Company's subsidiaries. The Company may redeem the Notes, at any time in whole or from time to time in part, at the redemption price equal to the greater of: (i) 100% of the principal amount of the Notes to be redeemed; and (ii) the sum of the present values of the remaining scheduled payments of principal and interest on the Notes to be redeemed that would be due if the Notes matured on the applicable redemption date (exclusive of interest accrued to the applicable redemption date) discounted to the redemption date on a semi-annual basis at the Treasury Rate, plus 50 basis points.</w:t>
      </w:r>
    </w:p>
    <w:p>
      <w:pPr>
        <w:spacing w:after="0" w:line="16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has used an aggregate $28,256,335 of the net proceeds from the offering to contribute capital to KICO in order to support additional growth. The remainder of the net proceeds is being used for general corporate purposes. A registration statement relating to the debt issued in the offering was filed with the SEC, which became effective on November 28, 2017.</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 Stockholders’ Equity</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Dividends Declared and Paid</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Dividends declared and paid on Common Stock were $675,960 and $1,075,962 for the three months ended March 31, 2020 and 2019, respectively. The Company’s Board of Directors approved a quarterly dividend on May 6, 2020 of $.04 per share payable in cash on June 15, 2020 to stockholders of record as of May 29, 2020 (see Note 13 - Subsequent Events).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u w:val="single" w:color="auto"/>
          <w:color w:val="auto"/>
        </w:rPr>
        <w:t>Stock Options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Effective August 12, 2014, the Company adopted the 2014 Equity Participation Plan (the “2014 Plan”) pursuant to which, a maximum of 700,000 shares of Common Stock of the Company are authorized to be issued pursuant to the grant of incentive stock options, non-statutory stock options, stock appreciation rights, restricted stock and stock bonuses. Incentive stock options granted under the 2014 Plan expire no later than ten years from the date of grant (except no later than five years for a grant to a 10% stockholder). The Board of Directors or the Compensation Committee determines the expiration date with respect to non-statutory stock options and the vesting provisions for restricted stock granted under the 2014 Plan.</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results of operations for the three months ended March 31, 2020 and 2019 include stock-based compensation expense for stock options totaling approximately $17,000 and $1,000, respectively. Stock-based compensation expense related to stock options is net of estimated forfeitures of approximately 16% for the three months ended March 31 2020 and 2019. Such amounts have been included in the consolidated statements of operations and comprehensive loss within other operating expenses.</w:t>
      </w:r>
    </w:p>
    <w:p>
      <w:pPr>
        <w:spacing w:after="0" w:line="185" w:lineRule="exact"/>
        <w:rPr>
          <w:sz w:val="20"/>
          <w:szCs w:val="20"/>
          <w:color w:val="auto"/>
        </w:rPr>
      </w:pPr>
    </w:p>
    <w:p>
      <w:pPr>
        <w:jc w:val="both"/>
        <w:spacing w:after="0" w:line="350" w:lineRule="auto"/>
        <w:rPr>
          <w:sz w:val="20"/>
          <w:szCs w:val="20"/>
          <w:color w:val="auto"/>
        </w:rPr>
      </w:pPr>
      <w:r>
        <w:rPr>
          <w:rFonts w:ascii="Arial" w:cs="Arial" w:eastAsia="Arial" w:hAnsi="Arial"/>
          <w:sz w:val="15"/>
          <w:szCs w:val="15"/>
          <w:color w:val="auto"/>
        </w:rPr>
        <w:t>The weighted average estimated fair value of stock options granted during the three months ended March 31, 2020 was $1.66 per share. No options were granted during the three months ended March 31, 2019. The fair value of stock options at the grant date was estimated using the Black-Scholes option-pricing model.</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weighted average assumptions were used for grants during the following periods: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440" w:type="dxa"/>
            <w:vAlign w:val="bottom"/>
          </w:tcPr>
          <w:p>
            <w:pPr>
              <w:spacing w:after="0"/>
              <w:rPr>
                <w:sz w:val="15"/>
                <w:szCs w:val="15"/>
                <w:color w:val="auto"/>
              </w:rPr>
            </w:pPr>
          </w:p>
        </w:tc>
        <w:tc>
          <w:tcPr>
            <w:tcW w:w="2800" w:type="dxa"/>
            <w:vAlign w:val="bottom"/>
            <w:gridSpan w:val="4"/>
          </w:tcPr>
          <w:p>
            <w:pPr>
              <w:ind w:left="800"/>
              <w:spacing w:after="0"/>
              <w:rPr>
                <w:sz w:val="20"/>
                <w:szCs w:val="20"/>
                <w:color w:val="auto"/>
              </w:rPr>
            </w:pPr>
            <w:r>
              <w:rPr>
                <w:rFonts w:ascii="Arial" w:cs="Arial" w:eastAsia="Arial" w:hAnsi="Arial"/>
                <w:sz w:val="14"/>
                <w:szCs w:val="14"/>
                <w:b w:val="1"/>
                <w:bCs w:val="1"/>
                <w:color w:val="auto"/>
              </w:rPr>
              <w:t>Three months ended,</w:t>
            </w:r>
          </w:p>
        </w:tc>
      </w:tr>
      <w:tr>
        <w:trPr>
          <w:trHeight w:val="202"/>
        </w:trPr>
        <w:tc>
          <w:tcPr>
            <w:tcW w:w="844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March 31,</w:t>
            </w:r>
          </w:p>
        </w:tc>
      </w:tr>
      <w:tr>
        <w:trPr>
          <w:trHeight w:val="189"/>
        </w:trPr>
        <w:tc>
          <w:tcPr>
            <w:tcW w:w="8440" w:type="dxa"/>
            <w:vAlign w:val="bottom"/>
          </w:tcPr>
          <w:p>
            <w:pPr>
              <w:spacing w:after="0"/>
              <w:rPr>
                <w:sz w:val="16"/>
                <w:szCs w:val="16"/>
                <w:color w:val="auto"/>
              </w:rPr>
            </w:pPr>
          </w:p>
        </w:tc>
        <w:tc>
          <w:tcPr>
            <w:tcW w:w="1060" w:type="dxa"/>
            <w:vAlign w:val="bottom"/>
          </w:tcPr>
          <w:p>
            <w:pPr>
              <w:jc w:val="right"/>
              <w:ind w:right="139"/>
              <w:spacing w:after="0"/>
              <w:rPr>
                <w:sz w:val="20"/>
                <w:szCs w:val="20"/>
                <w:color w:val="auto"/>
              </w:rPr>
            </w:pPr>
            <w:r>
              <w:rPr>
                <w:rFonts w:ascii="Arial" w:cs="Arial" w:eastAsia="Arial" w:hAnsi="Arial"/>
                <w:sz w:val="14"/>
                <w:szCs w:val="14"/>
                <w:b w:val="1"/>
                <w:bCs w:val="1"/>
                <w:color w:val="auto"/>
              </w:rPr>
              <w:t>2020</w:t>
            </w:r>
          </w:p>
        </w:tc>
        <w:tc>
          <w:tcPr>
            <w:tcW w:w="1740" w:type="dxa"/>
            <w:vAlign w:val="bottom"/>
            <w:gridSpan w:val="3"/>
          </w:tcPr>
          <w:p>
            <w:pPr>
              <w:jc w:val="center"/>
              <w:ind w:left="368"/>
              <w:spacing w:after="0"/>
              <w:rPr>
                <w:sz w:val="20"/>
                <w:szCs w:val="20"/>
                <w:color w:val="auto"/>
              </w:rPr>
            </w:pPr>
            <w:r>
              <w:rPr>
                <w:rFonts w:ascii="Arial" w:cs="Arial" w:eastAsia="Arial" w:hAnsi="Arial"/>
                <w:sz w:val="14"/>
                <w:szCs w:val="14"/>
                <w:b w:val="1"/>
                <w:bCs w:val="1"/>
                <w:color w:val="auto"/>
                <w:w w:val="96"/>
              </w:rPr>
              <w:t>2019</w:t>
            </w:r>
          </w:p>
        </w:tc>
      </w:tr>
      <w:tr>
        <w:trPr>
          <w:trHeight w:val="209"/>
        </w:trPr>
        <w:tc>
          <w:tcPr>
            <w:tcW w:w="844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r>
      <w:tr>
        <w:trPr>
          <w:trHeight w:val="209"/>
        </w:trPr>
        <w:tc>
          <w:tcPr>
            <w:tcW w:w="8440" w:type="dxa"/>
            <w:vAlign w:val="bottom"/>
            <w:shd w:val="clear" w:color="auto" w:fill="CCEEFF"/>
          </w:tcPr>
          <w:p>
            <w:pPr>
              <w:spacing w:after="0"/>
              <w:rPr>
                <w:sz w:val="20"/>
                <w:szCs w:val="20"/>
                <w:color w:val="auto"/>
              </w:rPr>
            </w:pPr>
            <w:r>
              <w:rPr>
                <w:rFonts w:ascii="Arial" w:cs="Arial" w:eastAsia="Arial" w:hAnsi="Arial"/>
                <w:sz w:val="17"/>
                <w:szCs w:val="17"/>
                <w:color w:val="auto"/>
              </w:rPr>
              <w:t>Dividend Yield</w:t>
            </w:r>
          </w:p>
        </w:tc>
        <w:tc>
          <w:tcPr>
            <w:tcW w:w="1060" w:type="dxa"/>
            <w:vAlign w:val="bottom"/>
            <w:shd w:val="clear" w:color="auto" w:fill="CCEEFF"/>
          </w:tcPr>
          <w:p>
            <w:pPr>
              <w:jc w:val="center"/>
              <w:ind w:left="219"/>
              <w:spacing w:after="0"/>
              <w:rPr>
                <w:sz w:val="20"/>
                <w:szCs w:val="20"/>
                <w:color w:val="auto"/>
              </w:rPr>
            </w:pPr>
            <w:r>
              <w:rPr>
                <w:rFonts w:ascii="Arial" w:cs="Arial" w:eastAsia="Arial" w:hAnsi="Arial"/>
                <w:sz w:val="17"/>
                <w:szCs w:val="17"/>
                <w:color w:val="auto"/>
                <w:w w:val="91"/>
              </w:rPr>
              <w:t>3.14%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n/a</w:t>
            </w:r>
          </w:p>
        </w:tc>
      </w:tr>
      <w:tr>
        <w:trPr>
          <w:trHeight w:val="209"/>
        </w:trPr>
        <w:tc>
          <w:tcPr>
            <w:tcW w:w="8440" w:type="dxa"/>
            <w:vAlign w:val="bottom"/>
          </w:tcPr>
          <w:p>
            <w:pPr>
              <w:spacing w:after="0"/>
              <w:rPr>
                <w:sz w:val="20"/>
                <w:szCs w:val="20"/>
                <w:color w:val="auto"/>
              </w:rPr>
            </w:pPr>
            <w:r>
              <w:rPr>
                <w:rFonts w:ascii="Arial" w:cs="Arial" w:eastAsia="Arial" w:hAnsi="Arial"/>
                <w:sz w:val="17"/>
                <w:szCs w:val="17"/>
                <w:color w:val="auto"/>
              </w:rPr>
              <w:t>Volatility</w:t>
            </w:r>
          </w:p>
        </w:tc>
        <w:tc>
          <w:tcPr>
            <w:tcW w:w="1060" w:type="dxa"/>
            <w:vAlign w:val="bottom"/>
          </w:tcPr>
          <w:p>
            <w:pPr>
              <w:jc w:val="center"/>
              <w:ind w:left="219"/>
              <w:spacing w:after="0"/>
              <w:rPr>
                <w:sz w:val="20"/>
                <w:szCs w:val="20"/>
                <w:color w:val="auto"/>
              </w:rPr>
            </w:pPr>
            <w:r>
              <w:rPr>
                <w:rFonts w:ascii="Arial" w:cs="Arial" w:eastAsia="Arial" w:hAnsi="Arial"/>
                <w:sz w:val="17"/>
                <w:szCs w:val="17"/>
                <w:color w:val="auto"/>
                <w:w w:val="90"/>
              </w:rPr>
              <w:t>37.69%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7"/>
                <w:szCs w:val="17"/>
                <w:color w:val="auto"/>
                <w:w w:val="92"/>
              </w:rPr>
              <w:t>n/a</w:t>
            </w:r>
          </w:p>
        </w:tc>
      </w:tr>
      <w:tr>
        <w:trPr>
          <w:trHeight w:val="209"/>
        </w:trPr>
        <w:tc>
          <w:tcPr>
            <w:tcW w:w="844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1060" w:type="dxa"/>
            <w:vAlign w:val="bottom"/>
            <w:shd w:val="clear" w:color="auto" w:fill="CCEEFF"/>
          </w:tcPr>
          <w:p>
            <w:pPr>
              <w:jc w:val="center"/>
              <w:ind w:left="219"/>
              <w:spacing w:after="0"/>
              <w:rPr>
                <w:sz w:val="20"/>
                <w:szCs w:val="20"/>
                <w:color w:val="auto"/>
              </w:rPr>
            </w:pPr>
            <w:r>
              <w:rPr>
                <w:rFonts w:ascii="Arial" w:cs="Arial" w:eastAsia="Arial" w:hAnsi="Arial"/>
                <w:sz w:val="17"/>
                <w:szCs w:val="17"/>
                <w:color w:val="auto"/>
                <w:w w:val="91"/>
              </w:rPr>
              <w:t>1.40%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n/a</w:t>
            </w:r>
          </w:p>
        </w:tc>
      </w:tr>
      <w:tr>
        <w:trPr>
          <w:trHeight w:val="215"/>
        </w:trPr>
        <w:tc>
          <w:tcPr>
            <w:tcW w:w="8440" w:type="dxa"/>
            <w:vAlign w:val="bottom"/>
          </w:tcPr>
          <w:p>
            <w:pPr>
              <w:spacing w:after="0"/>
              <w:rPr>
                <w:sz w:val="20"/>
                <w:szCs w:val="20"/>
                <w:color w:val="auto"/>
              </w:rPr>
            </w:pPr>
            <w:r>
              <w:rPr>
                <w:rFonts w:ascii="Arial" w:cs="Arial" w:eastAsia="Arial" w:hAnsi="Arial"/>
                <w:sz w:val="17"/>
                <w:szCs w:val="17"/>
                <w:color w:val="auto"/>
              </w:rPr>
              <w:t>Expected Life</w:t>
            </w:r>
          </w:p>
        </w:tc>
        <w:tc>
          <w:tcPr>
            <w:tcW w:w="1060" w:type="dxa"/>
            <w:vAlign w:val="bottom"/>
          </w:tcPr>
          <w:p>
            <w:pPr>
              <w:jc w:val="center"/>
              <w:ind w:left="219"/>
              <w:spacing w:after="0"/>
              <w:rPr>
                <w:sz w:val="20"/>
                <w:szCs w:val="20"/>
                <w:color w:val="auto"/>
              </w:rPr>
            </w:pPr>
            <w:r>
              <w:rPr>
                <w:rFonts w:ascii="Arial" w:cs="Arial" w:eastAsia="Arial" w:hAnsi="Arial"/>
                <w:sz w:val="17"/>
                <w:szCs w:val="17"/>
                <w:color w:val="auto"/>
                <w:w w:val="85"/>
              </w:rPr>
              <w:t>2.75 years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7"/>
                <w:szCs w:val="17"/>
                <w:color w:val="auto"/>
                <w:w w:val="92"/>
              </w:rPr>
              <w:t>n/a</w:t>
            </w:r>
          </w:p>
        </w:tc>
      </w:tr>
    </w:tbl>
    <w:p>
      <w:pPr>
        <w:spacing w:after="0" w:line="19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 Black-Scholes option 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the Company’s stock options.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A summary of stock option activity under the Company’s 2014 Plan for the three months ended March 31, 2020 is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7"/>
        </w:trPr>
        <w:tc>
          <w:tcPr>
            <w:tcW w:w="44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44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ind w:right="157"/>
              <w:spacing w:after="0" w:line="157" w:lineRule="exact"/>
              <w:rPr>
                <w:sz w:val="20"/>
                <w:szCs w:val="20"/>
                <w:color w:val="auto"/>
              </w:rPr>
            </w:pPr>
            <w:r>
              <w:rPr>
                <w:rFonts w:ascii="Arial" w:cs="Arial" w:eastAsia="Arial" w:hAnsi="Arial"/>
                <w:sz w:val="14"/>
                <w:szCs w:val="14"/>
                <w:b w:val="1"/>
                <w:bCs w:val="1"/>
                <w:color w:val="auto"/>
              </w:rPr>
              <w:t>Weighted</w:t>
            </w:r>
          </w:p>
        </w:tc>
        <w:tc>
          <w:tcPr>
            <w:tcW w:w="260" w:type="dxa"/>
            <w:vAlign w:val="bottom"/>
          </w:tcPr>
          <w:p>
            <w:pPr>
              <w:spacing w:after="0"/>
              <w:rPr>
                <w:sz w:val="13"/>
                <w:szCs w:val="13"/>
                <w:color w:val="auto"/>
              </w:rPr>
            </w:pPr>
          </w:p>
        </w:tc>
        <w:tc>
          <w:tcPr>
            <w:tcW w:w="10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44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ind w:right="148"/>
              <w:spacing w:after="0" w:line="157" w:lineRule="exact"/>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3"/>
                <w:szCs w:val="13"/>
                <w:color w:val="auto"/>
              </w:rPr>
            </w:pPr>
          </w:p>
        </w:tc>
        <w:tc>
          <w:tcPr>
            <w:tcW w:w="1080" w:type="dxa"/>
            <w:vAlign w:val="bottom"/>
            <w:gridSpan w:val="2"/>
          </w:tcPr>
          <w:p>
            <w:pPr>
              <w:ind w:left="20"/>
              <w:spacing w:after="0" w:line="157" w:lineRule="exact"/>
              <w:rPr>
                <w:sz w:val="20"/>
                <w:szCs w:val="20"/>
                <w:color w:val="auto"/>
              </w:rPr>
            </w:pPr>
            <w:r>
              <w:rPr>
                <w:rFonts w:ascii="Arial" w:cs="Arial" w:eastAsia="Arial" w:hAnsi="Arial"/>
                <w:sz w:val="14"/>
                <w:szCs w:val="14"/>
                <w:b w:val="1"/>
                <w:bCs w:val="1"/>
                <w:color w:val="auto"/>
                <w:w w:val="89"/>
              </w:rPr>
              <w:t>Average Exercise</w:t>
            </w:r>
          </w:p>
        </w:tc>
        <w:tc>
          <w:tcPr>
            <w:tcW w:w="260" w:type="dxa"/>
            <w:vAlign w:val="bottom"/>
          </w:tcPr>
          <w:p>
            <w:pPr>
              <w:spacing w:after="0"/>
              <w:rPr>
                <w:sz w:val="13"/>
                <w:szCs w:val="13"/>
                <w:color w:val="auto"/>
              </w:rPr>
            </w:pPr>
          </w:p>
        </w:tc>
        <w:tc>
          <w:tcPr>
            <w:tcW w:w="10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89"/>
              </w:rPr>
              <w:t>Aggregate</w:t>
            </w:r>
          </w:p>
        </w:tc>
      </w:tr>
      <w:tr>
        <w:trPr>
          <w:trHeight w:val="176"/>
        </w:trPr>
        <w:tc>
          <w:tcPr>
            <w:tcW w:w="4460" w:type="dxa"/>
            <w:vAlign w:val="bottom"/>
          </w:tcPr>
          <w:p>
            <w:pPr>
              <w:ind w:left="2500"/>
              <w:spacing w:after="0"/>
              <w:rPr>
                <w:sz w:val="20"/>
                <w:szCs w:val="20"/>
                <w:color w:val="auto"/>
              </w:rPr>
            </w:pPr>
            <w:r>
              <w:rPr>
                <w:rFonts w:ascii="Arial" w:cs="Arial" w:eastAsia="Arial" w:hAnsi="Arial"/>
                <w:sz w:val="14"/>
                <w:szCs w:val="14"/>
                <w:b w:val="1"/>
                <w:bCs w:val="1"/>
                <w:color w:val="auto"/>
              </w:rPr>
              <w:t>Stock Options</w:t>
            </w: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right"/>
              <w:ind w:right="268"/>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Price per Share</w:t>
            </w:r>
          </w:p>
        </w:tc>
        <w:tc>
          <w:tcPr>
            <w:tcW w:w="26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Intrinsic Value</w:t>
            </w:r>
          </w:p>
        </w:tc>
      </w:tr>
      <w:tr>
        <w:trPr>
          <w:trHeight w:val="235"/>
        </w:trPr>
        <w:tc>
          <w:tcPr>
            <w:tcW w:w="44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January 1, 2020</w:t>
            </w:r>
          </w:p>
        </w:tc>
        <w:tc>
          <w:tcPr>
            <w:tcW w:w="26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82,000</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r>
      <w:tr>
        <w:trPr>
          <w:trHeight w:val="209"/>
        </w:trPr>
        <w:tc>
          <w:tcPr>
            <w:tcW w:w="4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Granted</w:t>
            </w:r>
          </w:p>
        </w:tc>
        <w:tc>
          <w:tcPr>
            <w:tcW w:w="26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74,523</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4.84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r>
      <w:tr>
        <w:trPr>
          <w:trHeight w:val="209"/>
        </w:trPr>
        <w:tc>
          <w:tcPr>
            <w:tcW w:w="4460" w:type="dxa"/>
            <w:vAlign w:val="bottom"/>
          </w:tcPr>
          <w:p>
            <w:pPr>
              <w:spacing w:after="0"/>
              <w:rPr>
                <w:sz w:val="20"/>
                <w:szCs w:val="20"/>
                <w:color w:val="auto"/>
              </w:rPr>
            </w:pPr>
            <w:r>
              <w:rPr>
                <w:rFonts w:ascii="Arial" w:cs="Arial" w:eastAsia="Arial" w:hAnsi="Arial"/>
                <w:sz w:val="17"/>
                <w:szCs w:val="17"/>
                <w:color w:val="auto"/>
              </w:rPr>
              <w:t>Exercised</w:t>
            </w:r>
          </w:p>
        </w:tc>
        <w:tc>
          <w:tcPr>
            <w:tcW w:w="26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tcPr>
          <w:p>
            <w:pPr>
              <w:ind w:left="26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r>
      <w:tr>
        <w:trPr>
          <w:trHeight w:val="215"/>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Forfeited</w:t>
            </w:r>
          </w:p>
        </w:tc>
        <w:tc>
          <w:tcPr>
            <w:tcW w:w="26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r>
      <w:tr>
        <w:trPr>
          <w:trHeight w:val="209"/>
        </w:trPr>
        <w:tc>
          <w:tcPr>
            <w:tcW w:w="44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49"/>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March 31, 2020</w:t>
            </w:r>
          </w:p>
        </w:tc>
        <w:tc>
          <w:tcPr>
            <w:tcW w:w="26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156,523</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r>
      <w:tr>
        <w:trPr>
          <w:trHeight w:val="201"/>
        </w:trPr>
        <w:tc>
          <w:tcPr>
            <w:tcW w:w="4460" w:type="dxa"/>
            <w:vAlign w:val="bottom"/>
            <w:tcBorders>
              <w:top w:val="single" w:sz="8" w:color="CCEEFF"/>
            </w:tcBorders>
          </w:tcPr>
          <w:p>
            <w:pPr>
              <w:spacing w:after="0"/>
              <w:rPr>
                <w:sz w:val="17"/>
                <w:szCs w:val="17"/>
                <w:color w:val="auto"/>
              </w:rPr>
            </w:pPr>
          </w:p>
        </w:tc>
        <w:tc>
          <w:tcPr>
            <w:tcW w:w="14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r>
      <w:tr>
        <w:trPr>
          <w:trHeight w:val="249"/>
        </w:trPr>
        <w:tc>
          <w:tcPr>
            <w:tcW w:w="4460" w:type="dxa"/>
            <w:vAlign w:val="bottom"/>
            <w:shd w:val="clear" w:color="auto" w:fill="CCEEFF"/>
          </w:tcPr>
          <w:p>
            <w:pPr>
              <w:spacing w:after="0"/>
              <w:rPr>
                <w:sz w:val="20"/>
                <w:szCs w:val="20"/>
                <w:color w:val="auto"/>
              </w:rPr>
            </w:pPr>
            <w:r>
              <w:rPr>
                <w:rFonts w:ascii="Arial" w:cs="Arial" w:eastAsia="Arial" w:hAnsi="Arial"/>
                <w:sz w:val="17"/>
                <w:szCs w:val="17"/>
                <w:color w:val="auto"/>
              </w:rPr>
              <w:t>Vested and Exercisable at March 31, 2020</w:t>
            </w:r>
          </w:p>
        </w:tc>
        <w:tc>
          <w:tcPr>
            <w:tcW w:w="26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50,000</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8.45</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1"/>
                <w:szCs w:val="21"/>
                <w:color w:val="auto"/>
              </w:rPr>
            </w:pPr>
          </w:p>
        </w:tc>
      </w:tr>
      <w:tr>
        <w:trPr>
          <w:trHeight w:val="645"/>
        </w:trPr>
        <w:tc>
          <w:tcPr>
            <w:tcW w:w="4460" w:type="dxa"/>
            <w:vAlign w:val="bottom"/>
            <w:tcBorders>
              <w:top w:val="single" w:sz="8" w:color="CCEEFF"/>
              <w:bottom w:val="single" w:sz="8" w:color="auto"/>
            </w:tcBorders>
          </w:tcPr>
          <w:p>
            <w:pPr>
              <w:spacing w:after="0"/>
              <w:rPr>
                <w:sz w:val="24"/>
                <w:szCs w:val="24"/>
                <w:color w:val="auto"/>
              </w:rPr>
            </w:pPr>
          </w:p>
        </w:tc>
        <w:tc>
          <w:tcPr>
            <w:tcW w:w="1400" w:type="dxa"/>
            <w:vAlign w:val="bottom"/>
            <w:tcBorders>
              <w:top w:val="single" w:sz="8" w:color="CCEEFF"/>
              <w:bottom w:val="single" w:sz="8" w:color="auto"/>
            </w:tcBorders>
          </w:tcPr>
          <w:p>
            <w:pPr>
              <w:jc w:val="right"/>
              <w:ind w:right="75"/>
              <w:spacing w:after="0"/>
              <w:rPr>
                <w:sz w:val="20"/>
                <w:szCs w:val="20"/>
                <w:color w:val="auto"/>
              </w:rPr>
            </w:pPr>
            <w:r>
              <w:rPr>
                <w:rFonts w:ascii="Arial" w:cs="Arial" w:eastAsia="Arial" w:hAnsi="Arial"/>
                <w:sz w:val="17"/>
                <w:szCs w:val="17"/>
                <w:color w:val="auto"/>
              </w:rPr>
              <w:t>25</w:t>
            </w:r>
          </w:p>
        </w:tc>
        <w:tc>
          <w:tcPr>
            <w:tcW w:w="12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49" w:right="339" w:bottom="1440" w:gutter="0" w:footer="0" w:header="0"/>
        </w:sectPr>
      </w:pPr>
    </w:p>
    <w:bookmarkStart w:id="27" w:name="page28"/>
    <w:bookmarkEnd w:id="27"/>
    <w:p>
      <w:pPr>
        <w:jc w:val="both"/>
        <w:spacing w:after="0" w:line="293" w:lineRule="auto"/>
        <w:rPr>
          <w:sz w:val="20"/>
          <w:szCs w:val="20"/>
          <w:color w:val="auto"/>
        </w:rPr>
      </w:pPr>
      <w:r>
        <w:rPr>
          <w:rFonts w:ascii="Arial" w:cs="Arial" w:eastAsia="Arial" w:hAnsi="Arial"/>
          <w:sz w:val="16"/>
          <w:szCs w:val="16"/>
          <w:color w:val="auto"/>
        </w:rPr>
        <w:t>The aggregate intrinsic value of options outstanding and options exercisable at March 31, 2020 is calculated as the difference between the exercise price of the underlying options and the market price of the Company’s Common Stock for the options that had exercise prices that were lower than the $5.11 closing price of the Company’s Common Stock on March 31, 2020. No options were exercised or forfeited during the three months ended March 31, 2020.</w:t>
      </w:r>
    </w:p>
    <w:p>
      <w:pPr>
        <w:spacing w:after="0" w:line="97" w:lineRule="exact"/>
        <w:rPr>
          <w:sz w:val="20"/>
          <w:szCs w:val="20"/>
          <w:color w:val="auto"/>
        </w:rPr>
      </w:pPr>
    </w:p>
    <w:p>
      <w:pPr>
        <w:jc w:val="both"/>
        <w:spacing w:after="0" w:line="320" w:lineRule="auto"/>
        <w:rPr>
          <w:sz w:val="20"/>
          <w:szCs w:val="20"/>
          <w:color w:val="auto"/>
        </w:rPr>
      </w:pPr>
      <w:r>
        <w:rPr>
          <w:rFonts w:ascii="Arial" w:cs="Arial" w:eastAsia="Arial" w:hAnsi="Arial"/>
          <w:sz w:val="15"/>
          <w:szCs w:val="15"/>
          <w:color w:val="auto"/>
        </w:rPr>
        <w:t>Participants in the 2014 Plan may exercise their outstanding vested options, in whole or in part, by having the Company reduce the number of shares otherwise issuable by a number of shares having a fair market value equal to the exercise price of the option being exercised (“Net Exercise”), or by exchanging a number of shares owned for a period of greater than one year having a fair market value equal to the exercise price of the option being exercised (“Share Exchange”).</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2020, the estimated fair value of unamortized compensation cost related to unvested stock option awards was approximately $138,000.</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Unamortized compensation cost as of March 31, 2020 is expected to be recognized over a remaining weighted-average vesting period of 1.89 years.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As of March 31, 2020, there were 66,600 shares reserved for grants under the 2014 Plan.</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Restricted Stock Awards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restricted Common Stock activity under the Company’s 2014 Plan for the three months ended March 31, 2020 is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39"/>
              <w:spacing w:after="0"/>
              <w:rPr>
                <w:sz w:val="20"/>
                <w:szCs w:val="20"/>
                <w:color w:val="auto"/>
              </w:rPr>
            </w:pPr>
            <w:r>
              <w:rPr>
                <w:rFonts w:ascii="Arial" w:cs="Arial" w:eastAsia="Arial" w:hAnsi="Arial"/>
                <w:sz w:val="14"/>
                <w:szCs w:val="14"/>
                <w:b w:val="1"/>
                <w:bCs w:val="1"/>
                <w:color w:val="auto"/>
                <w:w w:val="95"/>
              </w:rPr>
              <w:t>Weighted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7"/>
        </w:trPr>
        <w:tc>
          <w:tcPr>
            <w:tcW w:w="7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95"/>
              </w:rPr>
              <w:t>Average Grant</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7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94"/>
              </w:rPr>
              <w:t>Date Fair Value</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200"/>
              <w:spacing w:after="0" w:line="157" w:lineRule="exact"/>
              <w:rPr>
                <w:sz w:val="20"/>
                <w:szCs w:val="20"/>
                <w:color w:val="auto"/>
              </w:rPr>
            </w:pPr>
            <w:r>
              <w:rPr>
                <w:rFonts w:ascii="Arial" w:cs="Arial" w:eastAsia="Arial" w:hAnsi="Arial"/>
                <w:sz w:val="14"/>
                <w:szCs w:val="14"/>
                <w:b w:val="1"/>
                <w:bCs w:val="1"/>
                <w:color w:val="auto"/>
                <w:w w:val="91"/>
              </w:rPr>
              <w:t>Aggregate Fair</w:t>
            </w:r>
          </w:p>
        </w:tc>
      </w:tr>
      <w:tr>
        <w:trPr>
          <w:trHeight w:val="176"/>
        </w:trPr>
        <w:tc>
          <w:tcPr>
            <w:tcW w:w="7200" w:type="dxa"/>
            <w:vAlign w:val="bottom"/>
          </w:tcPr>
          <w:p>
            <w:pPr>
              <w:ind w:left="2840"/>
              <w:spacing w:after="0"/>
              <w:rPr>
                <w:sz w:val="20"/>
                <w:szCs w:val="20"/>
                <w:color w:val="auto"/>
              </w:rPr>
            </w:pPr>
            <w:r>
              <w:rPr>
                <w:rFonts w:ascii="Arial" w:cs="Arial" w:eastAsia="Arial" w:hAnsi="Arial"/>
                <w:sz w:val="14"/>
                <w:szCs w:val="14"/>
                <w:b w:val="1"/>
                <w:bCs w:val="1"/>
                <w:color w:val="auto"/>
              </w:rPr>
              <w:t>Restricted Stock Awards</w:t>
            </w:r>
          </w:p>
        </w:tc>
        <w:tc>
          <w:tcPr>
            <w:tcW w:w="140" w:type="dxa"/>
            <w:vAlign w:val="bottom"/>
          </w:tcPr>
          <w:p>
            <w:pPr>
              <w:spacing w:after="0"/>
              <w:rPr>
                <w:sz w:val="15"/>
                <w:szCs w:val="15"/>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5"/>
                <w:szCs w:val="15"/>
                <w:color w:val="auto"/>
              </w:rPr>
            </w:pPr>
          </w:p>
        </w:tc>
        <w:tc>
          <w:tcPr>
            <w:tcW w:w="920" w:type="dxa"/>
            <w:vAlign w:val="bottom"/>
          </w:tcPr>
          <w:p>
            <w:pPr>
              <w:jc w:val="center"/>
              <w:ind w:right="79"/>
              <w:spacing w:after="0"/>
              <w:rPr>
                <w:sz w:val="20"/>
                <w:szCs w:val="20"/>
                <w:color w:val="auto"/>
              </w:rPr>
            </w:pPr>
            <w:r>
              <w:rPr>
                <w:rFonts w:ascii="Arial" w:cs="Arial" w:eastAsia="Arial" w:hAnsi="Arial"/>
                <w:sz w:val="14"/>
                <w:szCs w:val="14"/>
                <w:b w:val="1"/>
                <w:bCs w:val="1"/>
                <w:color w:val="auto"/>
                <w:w w:val="92"/>
              </w:rPr>
              <w:t>per Share</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Value</w:t>
            </w:r>
          </w:p>
        </w:tc>
      </w:tr>
      <w:tr>
        <w:trPr>
          <w:trHeight w:val="235"/>
        </w:trPr>
        <w:tc>
          <w:tcPr>
            <w:tcW w:w="72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7200" w:type="dxa"/>
            <w:vAlign w:val="bottom"/>
            <w:shd w:val="clear" w:color="auto" w:fill="CCEEFF"/>
          </w:tcPr>
          <w:p>
            <w:pPr>
              <w:spacing w:after="0"/>
              <w:rPr>
                <w:sz w:val="20"/>
                <w:szCs w:val="20"/>
                <w:color w:val="auto"/>
              </w:rPr>
            </w:pPr>
            <w:r>
              <w:rPr>
                <w:rFonts w:ascii="Arial" w:cs="Arial" w:eastAsia="Arial" w:hAnsi="Arial"/>
                <w:sz w:val="17"/>
                <w:szCs w:val="17"/>
                <w:color w:val="auto"/>
              </w:rPr>
              <w:t>Balance at January 1, 2020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213,929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3,554,174</w:t>
            </w:r>
          </w:p>
        </w:tc>
        <w:tc>
          <w:tcPr>
            <w:tcW w:w="120" w:type="dxa"/>
            <w:vAlign w:val="bottom"/>
            <w:shd w:val="clear" w:color="auto" w:fill="CCEEFF"/>
          </w:tcPr>
          <w:p>
            <w:pPr>
              <w:spacing w:after="0"/>
              <w:rPr>
                <w:sz w:val="18"/>
                <w:szCs w:val="18"/>
                <w:color w:val="auto"/>
              </w:rPr>
            </w:pPr>
          </w:p>
        </w:tc>
      </w:tr>
      <w:tr>
        <w:trPr>
          <w:trHeight w:val="209"/>
        </w:trPr>
        <w:tc>
          <w:tcPr>
            <w:tcW w:w="7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7200" w:type="dxa"/>
            <w:vAlign w:val="bottom"/>
            <w:shd w:val="clear" w:color="auto" w:fill="CCEEFF"/>
          </w:tcPr>
          <w:p>
            <w:pPr>
              <w:spacing w:after="0"/>
              <w:rPr>
                <w:sz w:val="20"/>
                <w:szCs w:val="20"/>
                <w:color w:val="auto"/>
              </w:rPr>
            </w:pPr>
            <w:r>
              <w:rPr>
                <w:rFonts w:ascii="Arial" w:cs="Arial" w:eastAsia="Arial" w:hAnsi="Arial"/>
                <w:sz w:val="17"/>
                <w:szCs w:val="17"/>
                <w:color w:val="auto"/>
              </w:rPr>
              <w:t>Granted</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199,812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7.94</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1,586,507</w:t>
            </w:r>
          </w:p>
        </w:tc>
        <w:tc>
          <w:tcPr>
            <w:tcW w:w="120" w:type="dxa"/>
            <w:vAlign w:val="bottom"/>
            <w:shd w:val="clear" w:color="auto" w:fill="CCEEFF"/>
          </w:tcPr>
          <w:p>
            <w:pPr>
              <w:spacing w:after="0"/>
              <w:rPr>
                <w:sz w:val="18"/>
                <w:szCs w:val="18"/>
                <w:color w:val="auto"/>
              </w:rPr>
            </w:pPr>
          </w:p>
        </w:tc>
      </w:tr>
      <w:tr>
        <w:trPr>
          <w:trHeight w:val="209"/>
        </w:trPr>
        <w:tc>
          <w:tcPr>
            <w:tcW w:w="7200" w:type="dxa"/>
            <w:vAlign w:val="bottom"/>
          </w:tcPr>
          <w:p>
            <w:pPr>
              <w:spacing w:after="0"/>
              <w:rPr>
                <w:sz w:val="20"/>
                <w:szCs w:val="20"/>
                <w:color w:val="auto"/>
              </w:rPr>
            </w:pPr>
            <w:r>
              <w:rPr>
                <w:rFonts w:ascii="Arial" w:cs="Arial" w:eastAsia="Arial" w:hAnsi="Arial"/>
                <w:sz w:val="17"/>
                <w:szCs w:val="17"/>
                <w:color w:val="auto"/>
              </w:rPr>
              <w:t>Vested</w:t>
            </w:r>
          </w:p>
        </w:tc>
        <w:tc>
          <w:tcPr>
            <w:tcW w:w="1480" w:type="dxa"/>
            <w:vAlign w:val="bottom"/>
            <w:gridSpan w:val="3"/>
          </w:tcPr>
          <w:p>
            <w:pPr>
              <w:jc w:val="right"/>
              <w:ind w:right="200"/>
              <w:spacing w:after="0"/>
              <w:rPr>
                <w:sz w:val="20"/>
                <w:szCs w:val="20"/>
                <w:color w:val="auto"/>
              </w:rPr>
            </w:pPr>
            <w:r>
              <w:rPr>
                <w:rFonts w:ascii="Arial" w:cs="Arial" w:eastAsia="Arial" w:hAnsi="Arial"/>
                <w:sz w:val="17"/>
                <w:szCs w:val="17"/>
                <w:color w:val="auto"/>
              </w:rPr>
              <w:t>(38,866)</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18.90</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(734,467)</w:t>
            </w:r>
          </w:p>
        </w:tc>
      </w:tr>
      <w:tr>
        <w:trPr>
          <w:trHeight w:val="215"/>
        </w:trPr>
        <w:tc>
          <w:tcPr>
            <w:tcW w:w="7200" w:type="dxa"/>
            <w:vAlign w:val="bottom"/>
            <w:shd w:val="clear" w:color="auto" w:fill="CCEEFF"/>
          </w:tcPr>
          <w:p>
            <w:pPr>
              <w:spacing w:after="0"/>
              <w:rPr>
                <w:sz w:val="20"/>
                <w:szCs w:val="20"/>
                <w:color w:val="auto"/>
              </w:rPr>
            </w:pPr>
            <w:r>
              <w:rPr>
                <w:rFonts w:ascii="Arial" w:cs="Arial" w:eastAsia="Arial" w:hAnsi="Arial"/>
                <w:sz w:val="17"/>
                <w:szCs w:val="17"/>
                <w:color w:val="auto"/>
              </w:rPr>
              <w:t>Forfeited</w:t>
            </w:r>
          </w:p>
        </w:tc>
        <w:tc>
          <w:tcPr>
            <w:tcW w:w="1480" w:type="dxa"/>
            <w:vAlign w:val="bottom"/>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(3,046)</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(46,135)</w:t>
            </w:r>
          </w:p>
        </w:tc>
      </w:tr>
      <w:tr>
        <w:trPr>
          <w:trHeight w:val="209"/>
        </w:trPr>
        <w:tc>
          <w:tcPr>
            <w:tcW w:w="7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49"/>
        </w:trPr>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March 31, 2020</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371,829</w:t>
            </w:r>
          </w:p>
        </w:tc>
        <w:tc>
          <w:tcPr>
            <w:tcW w:w="2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12.21</w:t>
            </w: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4,360,079</w:t>
            </w:r>
          </w:p>
        </w:tc>
        <w:tc>
          <w:tcPr>
            <w:tcW w:w="120" w:type="dxa"/>
            <w:vAlign w:val="bottom"/>
            <w:tcBorders>
              <w:bottom w:val="single" w:sz="8" w:color="CCEEFF"/>
            </w:tcBorders>
            <w:shd w:val="clear" w:color="auto" w:fill="CCEEFF"/>
          </w:tcPr>
          <w:p>
            <w:pPr>
              <w:spacing w:after="0"/>
              <w:rPr>
                <w:sz w:val="21"/>
                <w:szCs w:val="21"/>
                <w:color w:val="auto"/>
              </w:rPr>
            </w:pPr>
          </w:p>
        </w:tc>
      </w:tr>
    </w:tbl>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Fair value was calculated using the closing price of the Company’s Common Stock on the grant date. For the three months ended March 31, 2020 and 2019, stock-based compensation for these grants was approximately $472,000 and $309,000, respectively, which is included in other operating expenses on the accompanying condensed consolidated statements of operations and comprehensive loss. These amounts reflect the Company’s accounting expense and do not correspond to the actual value that will be recognized by the directors, executives and employees.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t>Note 9 – Income Taxes</w:t>
      </w:r>
    </w:p>
    <w:p>
      <w:pPr>
        <w:spacing w:after="0" w:line="227"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The Company files a consolidated U.S. federal income tax return that includes all wholly owned subsidiaries. State tax returns are filed on a consolidated or separate return basis depending on applicable laws. The Company records adjustments related to prior years’ taxes during the period when they are identified, generally when the tax returns are filed. The effect of these adjustments on the current and prior periods (during which the differences originated) is evaluated based upon quantitative and qualitative factors and are considered in relation to the consolidated financial statements taken as a whole for the respective periods.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Deferred tax assets and liabilities are determined using the enacted tax rates applicable to the period the temporary differences are expected to be recovered. Accordingly, the current period income tax provision can be affected by the enactment of new tax rates. The net deferred income taxes on the balance sheets reflect temporary differences between the carrying amounts of the assets and liabilities for financial reporting purposes and income tax purposes, tax effected at various rates depending on whether the temporary differences are subject to federal taxes, state taxes, or both.</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Significant components of the Company’s deferred tax assets and liabilities are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9"/>
        </w:trPr>
        <w:tc>
          <w:tcPr>
            <w:tcW w:w="6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9"/>
        </w:trPr>
        <w:tc>
          <w:tcPr>
            <w:tcW w:w="6860" w:type="dxa"/>
            <w:vAlign w:val="bottom"/>
          </w:tcPr>
          <w:p>
            <w:pPr>
              <w:ind w:left="40"/>
              <w:spacing w:after="0"/>
              <w:rPr>
                <w:sz w:val="20"/>
                <w:szCs w:val="20"/>
                <w:color w:val="auto"/>
              </w:rPr>
            </w:pPr>
            <w:r>
              <w:rPr>
                <w:rFonts w:ascii="Arial" w:cs="Arial" w:eastAsia="Arial" w:hAnsi="Arial"/>
                <w:sz w:val="17"/>
                <w:szCs w:val="17"/>
                <w:color w:val="auto"/>
              </w:rPr>
              <w:t>Deferred tax asset:</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operating loss carryovers (1)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70,381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1,586,247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60" w:type="dxa"/>
            <w:vAlign w:val="bottom"/>
          </w:tcPr>
          <w:p>
            <w:pPr>
              <w:ind w:left="200"/>
              <w:spacing w:after="0"/>
              <w:rPr>
                <w:sz w:val="20"/>
                <w:szCs w:val="20"/>
                <w:color w:val="auto"/>
              </w:rPr>
            </w:pPr>
            <w:r>
              <w:rPr>
                <w:rFonts w:ascii="Arial" w:cs="Arial" w:eastAsia="Arial" w:hAnsi="Arial"/>
                <w:sz w:val="17"/>
                <w:szCs w:val="17"/>
                <w:color w:val="auto"/>
              </w:rPr>
              <w:t>Claims reserve discount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7"/>
                <w:szCs w:val="17"/>
                <w:color w:val="auto"/>
              </w:rPr>
              <w:t>797,917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839,959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Unearned premium</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2,945,811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3,105,344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60" w:type="dxa"/>
            <w:vAlign w:val="bottom"/>
          </w:tcPr>
          <w:p>
            <w:pPr>
              <w:ind w:left="200"/>
              <w:spacing w:after="0"/>
              <w:rPr>
                <w:sz w:val="20"/>
                <w:szCs w:val="20"/>
                <w:color w:val="auto"/>
              </w:rPr>
            </w:pPr>
            <w:r>
              <w:rPr>
                <w:rFonts w:ascii="Arial" w:cs="Arial" w:eastAsia="Arial" w:hAnsi="Arial"/>
                <w:sz w:val="17"/>
                <w:szCs w:val="17"/>
                <w:color w:val="auto"/>
              </w:rPr>
              <w:t>Deferred ceding commission revenue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7"/>
                <w:szCs w:val="17"/>
                <w:color w:val="auto"/>
              </w:rPr>
              <w:t>1,456,434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1,624,434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Other</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272,244</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462,019</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60" w:type="dxa"/>
            <w:vAlign w:val="bottom"/>
          </w:tcPr>
          <w:p>
            <w:pPr>
              <w:ind w:left="40"/>
              <w:spacing w:after="0"/>
              <w:rPr>
                <w:sz w:val="20"/>
                <w:szCs w:val="20"/>
                <w:color w:val="auto"/>
              </w:rPr>
            </w:pPr>
            <w:r>
              <w:rPr>
                <w:rFonts w:ascii="Arial" w:cs="Arial" w:eastAsia="Arial" w:hAnsi="Arial"/>
                <w:sz w:val="17"/>
                <w:szCs w:val="17"/>
                <w:color w:val="auto"/>
              </w:rPr>
              <w:t>Total deferred tax assets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5,542,787</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7,618,003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60" w:type="dxa"/>
            <w:vAlign w:val="bottom"/>
          </w:tcPr>
          <w:p>
            <w:pPr>
              <w:ind w:left="40"/>
              <w:spacing w:after="0"/>
              <w:rPr>
                <w:sz w:val="20"/>
                <w:szCs w:val="20"/>
                <w:color w:val="auto"/>
              </w:rPr>
            </w:pPr>
            <w:r>
              <w:rPr>
                <w:rFonts w:ascii="Arial" w:cs="Arial" w:eastAsia="Arial" w:hAnsi="Arial"/>
                <w:sz w:val="17"/>
                <w:szCs w:val="17"/>
                <w:color w:val="auto"/>
              </w:rPr>
              <w:t>Deferred tax liability: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Investment in KICO (2)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759,543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759,543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60" w:type="dxa"/>
            <w:vAlign w:val="bottom"/>
          </w:tcPr>
          <w:p>
            <w:pPr>
              <w:ind w:left="200"/>
              <w:spacing w:after="0"/>
              <w:rPr>
                <w:sz w:val="20"/>
                <w:szCs w:val="20"/>
                <w:color w:val="auto"/>
              </w:rPr>
            </w:pPr>
            <w:r>
              <w:rPr>
                <w:rFonts w:ascii="Arial" w:cs="Arial" w:eastAsia="Arial" w:hAnsi="Arial"/>
                <w:sz w:val="17"/>
                <w:szCs w:val="17"/>
                <w:color w:val="auto"/>
              </w:rPr>
              <w:t>Deferred acquisition costs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7"/>
                <w:szCs w:val="17"/>
                <w:color w:val="auto"/>
              </w:rPr>
              <w:t>4,110,096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4,333,219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Intangibles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105,000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60" w:type="dxa"/>
            <w:vAlign w:val="bottom"/>
          </w:tcPr>
          <w:p>
            <w:pPr>
              <w:ind w:left="200"/>
              <w:spacing w:after="0"/>
              <w:rPr>
                <w:sz w:val="20"/>
                <w:szCs w:val="20"/>
                <w:color w:val="auto"/>
              </w:rPr>
            </w:pPr>
            <w:r>
              <w:rPr>
                <w:rFonts w:ascii="Arial" w:cs="Arial" w:eastAsia="Arial" w:hAnsi="Arial"/>
                <w:sz w:val="17"/>
                <w:szCs w:val="17"/>
                <w:color w:val="auto"/>
              </w:rPr>
              <w:t>Depreciation and amortization</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7"/>
                <w:szCs w:val="17"/>
                <w:color w:val="auto"/>
              </w:rPr>
              <w:t>318,895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312,298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unrealized (losses) gains of securities - available-for-sale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(1,098,446)</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1,796,891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60" w:type="dxa"/>
            <w:vAlign w:val="bottom"/>
            <w:tcBorders>
              <w:top w:val="single" w:sz="8" w:color="CCEEFF"/>
            </w:tcBorders>
          </w:tcPr>
          <w:p>
            <w:pPr>
              <w:ind w:left="40"/>
              <w:spacing w:after="0"/>
              <w:rPr>
                <w:sz w:val="20"/>
                <w:szCs w:val="20"/>
                <w:color w:val="auto"/>
              </w:rPr>
            </w:pPr>
            <w:r>
              <w:rPr>
                <w:rFonts w:ascii="Arial" w:cs="Arial" w:eastAsia="Arial" w:hAnsi="Arial"/>
                <w:sz w:val="17"/>
                <w:szCs w:val="17"/>
                <w:color w:val="auto"/>
              </w:rPr>
              <w:t>Total deferred tax liabilities</w:t>
            </w: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7"/>
                <w:szCs w:val="17"/>
                <w:color w:val="auto"/>
              </w:rPr>
              <w:t>4,195,088</w:t>
            </w: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7,306,951</w:t>
            </w: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60" w:type="dxa"/>
            <w:vAlign w:val="bottom"/>
          </w:tcPr>
          <w:p>
            <w:pPr>
              <w:ind w:left="40"/>
              <w:spacing w:after="0"/>
              <w:rPr>
                <w:sz w:val="20"/>
                <w:szCs w:val="20"/>
                <w:color w:val="auto"/>
              </w:rPr>
            </w:pPr>
            <w:r>
              <w:rPr>
                <w:rFonts w:ascii="Arial" w:cs="Arial" w:eastAsia="Arial" w:hAnsi="Arial"/>
                <w:sz w:val="17"/>
                <w:szCs w:val="17"/>
                <w:color w:val="auto"/>
              </w:rPr>
              <w:t>Net deferred income tax asset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gridSpan w:val="3"/>
          </w:tcPr>
          <w:p>
            <w:pPr>
              <w:jc w:val="right"/>
              <w:spacing w:after="0"/>
              <w:rPr>
                <w:sz w:val="20"/>
                <w:szCs w:val="20"/>
                <w:color w:val="auto"/>
              </w:rPr>
            </w:pPr>
            <w:r>
              <w:rPr>
                <w:rFonts w:ascii="Arial" w:cs="Arial" w:eastAsia="Arial" w:hAnsi="Arial"/>
                <w:sz w:val="17"/>
                <w:szCs w:val="17"/>
                <w:color w:val="auto"/>
              </w:rPr>
              <w:t>1,347,699</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311,052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ind w:left="640"/>
              <w:spacing w:after="0"/>
              <w:rPr>
                <w:sz w:val="20"/>
                <w:szCs w:val="20"/>
                <w:color w:val="auto"/>
              </w:rPr>
            </w:pPr>
            <w:r>
              <w:rPr>
                <w:rFonts w:ascii="Arial" w:cs="Arial" w:eastAsia="Arial" w:hAnsi="Arial"/>
                <w:sz w:val="17"/>
                <w:szCs w:val="17"/>
                <w:color w:val="auto"/>
                <w:w w:val="95"/>
              </w:rPr>
              <w:t>(1)  The deferred tax assets from net operating loss carryovers (“NOL”) are as follows:</w:t>
            </w: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68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6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24"/>
                <w:szCs w:val="24"/>
                <w:color w:val="auto"/>
              </w:rPr>
            </w:pPr>
          </w:p>
        </w:tc>
        <w:tc>
          <w:tcPr>
            <w:tcW w:w="11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860" w:type="dxa"/>
            <w:vAlign w:val="bottom"/>
            <w:tcBorders>
              <w:bottom w:val="single" w:sz="8" w:color="auto"/>
            </w:tcBorders>
          </w:tcPr>
          <w:p>
            <w:pPr>
              <w:ind w:left="3040"/>
              <w:spacing w:after="0"/>
              <w:rPr>
                <w:sz w:val="20"/>
                <w:szCs w:val="20"/>
                <w:color w:val="auto"/>
              </w:rPr>
            </w:pPr>
            <w:r>
              <w:rPr>
                <w:rFonts w:ascii="Arial" w:cs="Arial" w:eastAsia="Arial" w:hAnsi="Arial"/>
                <w:sz w:val="14"/>
                <w:szCs w:val="14"/>
                <w:b w:val="1"/>
                <w:bCs w:val="1"/>
                <w:color w:val="auto"/>
              </w:rPr>
              <w:t>Type of NOL</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ind w:right="297"/>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235"/>
        </w:trPr>
        <w:tc>
          <w:tcPr>
            <w:tcW w:w="6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860" w:type="dxa"/>
            <w:vAlign w:val="bottom"/>
            <w:shd w:val="clear" w:color="auto" w:fill="CCEEFF"/>
          </w:tcPr>
          <w:p>
            <w:pPr>
              <w:ind w:left="40"/>
              <w:spacing w:after="0"/>
              <w:rPr>
                <w:sz w:val="20"/>
                <w:szCs w:val="20"/>
                <w:color w:val="auto"/>
              </w:rPr>
            </w:pPr>
            <w:r>
              <w:rPr>
                <w:rFonts w:ascii="Arial" w:cs="Arial" w:eastAsia="Arial" w:hAnsi="Arial"/>
                <w:sz w:val="17"/>
                <w:szCs w:val="17"/>
                <w:color w:val="auto"/>
              </w:rPr>
              <w:t>Federal only, current year</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1,517,866</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gridSpan w:val="2"/>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gridSpan w:val="3"/>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60" w:type="dxa"/>
            <w:vAlign w:val="bottom"/>
            <w:shd w:val="clear" w:color="auto" w:fill="CCEEFF"/>
          </w:tcPr>
          <w:p>
            <w:pPr>
              <w:ind w:left="40"/>
              <w:spacing w:after="0"/>
              <w:rPr>
                <w:sz w:val="20"/>
                <w:szCs w:val="20"/>
                <w:color w:val="auto"/>
              </w:rPr>
            </w:pPr>
            <w:r>
              <w:rPr>
                <w:rFonts w:ascii="Arial" w:cs="Arial" w:eastAsia="Arial" w:hAnsi="Arial"/>
                <w:sz w:val="17"/>
                <w:szCs w:val="17"/>
                <w:color w:val="auto"/>
              </w:rPr>
              <w:t>State only (B)</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1,722,611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1,616,568</w:t>
            </w:r>
          </w:p>
        </w:tc>
        <w:tc>
          <w:tcPr>
            <w:tcW w:w="140" w:type="dxa"/>
            <w:vAlign w:val="bottom"/>
            <w:shd w:val="clear" w:color="auto" w:fill="CCEEFF"/>
          </w:tcPr>
          <w:p>
            <w:pPr>
              <w:spacing w:after="0"/>
              <w:rPr>
                <w:sz w:val="18"/>
                <w:szCs w:val="18"/>
                <w:color w:val="auto"/>
              </w:rPr>
            </w:pPr>
          </w:p>
        </w:tc>
        <w:tc>
          <w:tcPr>
            <w:tcW w:w="168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December 31, 2040</w:t>
            </w:r>
          </w:p>
        </w:tc>
        <w:tc>
          <w:tcPr>
            <w:tcW w:w="0" w:type="dxa"/>
            <w:vAlign w:val="bottom"/>
          </w:tcPr>
          <w:p>
            <w:pPr>
              <w:spacing w:after="0"/>
              <w:rPr>
                <w:sz w:val="1"/>
                <w:szCs w:val="1"/>
                <w:color w:val="auto"/>
              </w:rPr>
            </w:pPr>
          </w:p>
        </w:tc>
      </w:tr>
      <w:tr>
        <w:trPr>
          <w:trHeight w:val="215"/>
        </w:trPr>
        <w:tc>
          <w:tcPr>
            <w:tcW w:w="6860" w:type="dxa"/>
            <w:vAlign w:val="bottom"/>
          </w:tcPr>
          <w:p>
            <w:pPr>
              <w:ind w:left="40"/>
              <w:spacing w:after="0"/>
              <w:rPr>
                <w:sz w:val="20"/>
                <w:szCs w:val="20"/>
                <w:color w:val="auto"/>
              </w:rPr>
            </w:pPr>
            <w:r>
              <w:rPr>
                <w:rFonts w:ascii="Arial" w:cs="Arial" w:eastAsia="Arial" w:hAnsi="Arial"/>
                <w:sz w:val="17"/>
                <w:szCs w:val="17"/>
                <w:color w:val="auto"/>
              </w:rPr>
              <w:t>Valuation allowance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(1,652,230)</w:t>
            </w:r>
          </w:p>
        </w:tc>
        <w:tc>
          <w:tcPr>
            <w:tcW w:w="120" w:type="dxa"/>
            <w:vAlign w:val="bottom"/>
          </w:tcPr>
          <w:p>
            <w:pPr>
              <w:spacing w:after="0"/>
              <w:rPr>
                <w:sz w:val="18"/>
                <w:szCs w:val="18"/>
                <w:color w:val="auto"/>
              </w:rPr>
            </w:pPr>
          </w:p>
        </w:tc>
        <w:tc>
          <w:tcPr>
            <w:tcW w:w="1100" w:type="dxa"/>
            <w:vAlign w:val="bottom"/>
            <w:gridSpan w:val="4"/>
          </w:tcPr>
          <w:p>
            <w:pPr>
              <w:jc w:val="right"/>
              <w:ind w:right="80"/>
              <w:spacing w:after="0"/>
              <w:rPr>
                <w:sz w:val="20"/>
                <w:szCs w:val="20"/>
                <w:color w:val="auto"/>
              </w:rPr>
            </w:pPr>
            <w:r>
              <w:rPr>
                <w:rFonts w:ascii="Arial" w:cs="Arial" w:eastAsia="Arial" w:hAnsi="Arial"/>
                <w:sz w:val="17"/>
                <w:szCs w:val="17"/>
                <w:color w:val="auto"/>
              </w:rPr>
              <w:t>(1,548,187)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State only, net of valuation allowance</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70,381</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68,381</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86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 deferred tax asset from net operating loss carryovers</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70,381</w:t>
            </w: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1,586,247</w:t>
            </w: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618"/>
        </w:trPr>
        <w:tc>
          <w:tcPr>
            <w:tcW w:w="6860" w:type="dxa"/>
            <w:vAlign w:val="bottom"/>
            <w:tcBorders>
              <w:top w:val="single" w:sz="8" w:color="CCEEFF"/>
              <w:bottom w:val="single" w:sz="8" w:color="auto"/>
            </w:tcBorders>
          </w:tcPr>
          <w:p>
            <w:pPr>
              <w:ind w:left="5540"/>
              <w:spacing w:after="0"/>
              <w:rPr>
                <w:sz w:val="20"/>
                <w:szCs w:val="20"/>
                <w:color w:val="auto"/>
              </w:rPr>
            </w:pPr>
            <w:r>
              <w:rPr>
                <w:rFonts w:ascii="Arial" w:cs="Arial" w:eastAsia="Arial" w:hAnsi="Arial"/>
                <w:sz w:val="17"/>
                <w:szCs w:val="17"/>
                <w:color w:val="auto"/>
              </w:rPr>
              <w:t>27</w:t>
            </w:r>
          </w:p>
        </w:tc>
        <w:tc>
          <w:tcPr>
            <w:tcW w:w="14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5" w:right="339" w:bottom="1440" w:gutter="0" w:footer="0" w:header="0"/>
        </w:sectPr>
      </w:pPr>
    </w:p>
    <w:bookmarkStart w:id="29" w:name="page30"/>
    <w:bookmarkEnd w:id="29"/>
    <w:p>
      <w:pPr>
        <w:jc w:val="both"/>
        <w:ind w:firstLine="5"/>
        <w:spacing w:after="0" w:line="268" w:lineRule="auto"/>
        <w:tabs>
          <w:tab w:leader="none" w:pos="283" w:val="left"/>
        </w:tabs>
        <w:numPr>
          <w:ilvl w:val="0"/>
          <w:numId w:val="6"/>
        </w:numPr>
        <w:rPr>
          <w:rFonts w:ascii="Arial" w:cs="Arial" w:eastAsia="Arial" w:hAnsi="Arial"/>
          <w:sz w:val="17"/>
          <w:szCs w:val="17"/>
          <w:color w:val="auto"/>
        </w:rPr>
      </w:pPr>
      <w:r>
        <w:rPr>
          <w:rFonts w:ascii="Arial" w:cs="Arial" w:eastAsia="Arial" w:hAnsi="Arial"/>
          <w:sz w:val="17"/>
          <w:szCs w:val="17"/>
          <w:color w:val="auto"/>
        </w:rPr>
        <w:t>On March 27, 2020, the Coronavirus Aid, Relief, and Economic Security (CARES) Act was signed into law, allowing for a five year carryback of 2019 NOL’s. The Company will elect on its 2019 federal income tax return to carry back the 2019 NOL to tax years 2014 and 2015. The corporate tax rate in 2014 and 2015 was 34%, compared to the corporate tax rate of 21% in 2019.</w:t>
      </w:r>
    </w:p>
    <w:p>
      <w:pPr>
        <w:spacing w:after="0" w:line="116" w:lineRule="exact"/>
        <w:rPr>
          <w:rFonts w:ascii="Arial" w:cs="Arial" w:eastAsia="Arial" w:hAnsi="Arial"/>
          <w:sz w:val="17"/>
          <w:szCs w:val="17"/>
          <w:color w:val="auto"/>
        </w:rPr>
      </w:pPr>
    </w:p>
    <w:p>
      <w:pPr>
        <w:jc w:val="both"/>
        <w:ind w:firstLine="5"/>
        <w:spacing w:after="0" w:line="262" w:lineRule="auto"/>
        <w:tabs>
          <w:tab w:leader="none" w:pos="279" w:val="left"/>
        </w:tabs>
        <w:numPr>
          <w:ilvl w:val="0"/>
          <w:numId w:val="6"/>
        </w:numPr>
        <w:rPr>
          <w:rFonts w:ascii="Arial" w:cs="Arial" w:eastAsia="Arial" w:hAnsi="Arial"/>
          <w:sz w:val="17"/>
          <w:szCs w:val="17"/>
          <w:color w:val="auto"/>
        </w:rPr>
      </w:pPr>
      <w:r>
        <w:rPr>
          <w:rFonts w:ascii="Arial" w:cs="Arial" w:eastAsia="Arial" w:hAnsi="Arial"/>
          <w:sz w:val="17"/>
          <w:szCs w:val="17"/>
          <w:color w:val="auto"/>
        </w:rPr>
        <w:t>Kingstone generates operating losses for state purposes and has prior year NOLs available. The state NOL as of March 31, 2020 and December 31, 2019 was approximately $26,502,000 and $24,901,000, respectively. KICO, the Company’s insurance underwriting subsidiary, is not subject to state income taxes. KICO’s state tax obligations are paid through a gross premiums tax, which is included in the consolidated statements of operations and comprehensive loss within other underwriting expenses. Kingstone has recorded a valuation allowance due to the uncertainty of generating enough state taxable income to utilize 100% of the available state NOLs over their remaining lives, which expire between 2027 and 2040.</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(2)  Deferred tax liability – Investment in KICO</w:t>
      </w:r>
    </w:p>
    <w:p>
      <w:pPr>
        <w:spacing w:after="0" w:line="24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On July 1, 2009, the Company completed the acquisition of 100% of the issued and outstanding common stock of KICO (formerly known as Commercial Mutual Insurance Company (“CMIC”)) pursuant to the conversion of CMIC from an advance premium cooperative to a stock property and casualty insurance company. Pursuant to the plan of conversion, the Company acquired a 100% equity interest in KICO, in consideration for the exchange of $3,750,000 principal amount of surplus notes of CMIC. In addition, the Company forgave all accrued and unpaid interest on the surplus notes as of the date of conversion. As of the date of acquisition, unpaid accrued interest on the surplus notes along with the accretion of the discount on the original purchase of the surplus notes totaled $2,921,319 (together “Untaxed Interest”). As of the date of acquisition, the deferred tax liability on the Untaxed Interest was $1,169,000. A temporary difference with an indefinite life exists when the parent has a lower carrying value of its subsidiary for income tax purposes. The deferred tax liability was reduced to $759,543 upon the reduction of federal income tax rates as of December 31, 2017. The Company is required to maintain its deferred tax liability of $759,543 related to this temporary difference until the stock of KICO is sold, or the assets of KICO are sold or KICO and the parent are merged.</w:t>
      </w:r>
    </w:p>
    <w:p>
      <w:pPr>
        <w:spacing w:after="0" w:line="114"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In assessing the valuation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No valuation allowance against deferred tax assets has been established, except for NOL limitations, as the Company believes it is more likely than not the deferred tax assets will be realized based on the historical taxable income of KICO, or by offset to deferred tax liabilities.</w:t>
      </w:r>
    </w:p>
    <w:p>
      <w:pPr>
        <w:spacing w:after="0" w:line="15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had no material unrecognized tax benefit and no adjustments to liabilities or operations were required. There were no interest or penalties related to income taxes that have been accrued or recognized as of and for the three months ended March 31, 2020 and 2019. If any had been recognized these would have been reported in income tax expense.</w:t>
      </w:r>
    </w:p>
    <w:p>
      <w:pPr>
        <w:spacing w:after="0" w:line="18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Generally, taxing authorities may examine the Company’s tax returns for the three years from the date of filing. The Company’s tax returns for the years ended December 31, 2016 through December 31, 2019 remain subject to examination. The Company’s federal income tax return for the year ended December 31, 2016 has been examined by the Internal Revenue Service and was accepted as filed.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t>Note 10 –Earnings/(Loss) Per Common Share</w:t>
      </w:r>
    </w:p>
    <w:p>
      <w:pPr>
        <w:spacing w:after="0" w:line="16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Basic net earnings/(loss) per common share is computed by dividing income/(loss) available to common shareholders by the weighted-average number of shares of Common Stock outstanding. Diluted earnings/(loss) per common share reflect, in periods in which they have a dilutive effect, the impact of common shares issuable upon exercise of stock options as well as non-vested restricted stock awards. The computation of diluted earnings/(loss) per common share excludes those options with an exercise price in excess of the average market price of the Company’s Common Stock during the periods presented.</w:t>
      </w:r>
    </w:p>
    <w:p>
      <w:pPr>
        <w:spacing w:after="0" w:line="10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The computation of diluted earnings/(loss) per common share excludes outstanding options in periods where the exercise of such options would be anti-dilutive. For the three months March 31, 2020, no options were included in the computation of diluted earnings (loss) per common share as they would have been anti-dilutive for the relevant periods and, as a result, the weighted average number of shares of Common Stock used in the calculation of diluted earnings per common share has not been adjusted for the effect of such options.</w:t>
      </w:r>
    </w:p>
    <w:p>
      <w:pPr>
        <w:spacing w:after="0" w:line="200" w:lineRule="exact"/>
        <w:rPr>
          <w:sz w:val="20"/>
          <w:szCs w:val="20"/>
          <w:color w:val="auto"/>
        </w:rPr>
      </w:pPr>
    </w:p>
    <w:p>
      <w:pPr>
        <w:spacing w:after="0" w:line="27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reconciliation of the weighted average number of shares of Common Stock used in the calculation of basic and diluted earnings (loss) per common share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80" w:type="dxa"/>
            <w:vAlign w:val="bottom"/>
          </w:tcPr>
          <w:p>
            <w:pPr>
              <w:spacing w:after="0"/>
              <w:rPr>
                <w:sz w:val="16"/>
                <w:szCs w:val="16"/>
                <w:color w:val="auto"/>
              </w:rPr>
            </w:pPr>
          </w:p>
        </w:tc>
        <w:tc>
          <w:tcPr>
            <w:tcW w:w="25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r>
      <w:tr>
        <w:trPr>
          <w:trHeight w:val="226"/>
        </w:trPr>
        <w:tc>
          <w:tcPr>
            <w:tcW w:w="8680" w:type="dxa"/>
            <w:vAlign w:val="bottom"/>
          </w:tcPr>
          <w:p>
            <w:pPr>
              <w:spacing w:after="0"/>
              <w:rPr>
                <w:sz w:val="19"/>
                <w:szCs w:val="19"/>
                <w:color w:val="auto"/>
              </w:rPr>
            </w:pPr>
          </w:p>
        </w:tc>
        <w:tc>
          <w:tcPr>
            <w:tcW w:w="146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r>
      <w:tr>
        <w:trPr>
          <w:trHeight w:val="241"/>
        </w:trPr>
        <w:tc>
          <w:tcPr>
            <w:tcW w:w="8680" w:type="dxa"/>
            <w:vAlign w:val="bottom"/>
          </w:tcPr>
          <w:p>
            <w:pPr>
              <w:spacing w:after="0"/>
              <w:rPr>
                <w:sz w:val="20"/>
                <w:szCs w:val="20"/>
                <w:color w:val="auto"/>
              </w:rPr>
            </w:pPr>
          </w:p>
        </w:tc>
        <w:tc>
          <w:tcPr>
            <w:tcW w:w="94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20"/>
                <w:szCs w:val="20"/>
                <w:color w:val="auto"/>
              </w:rPr>
            </w:pPr>
          </w:p>
        </w:tc>
      </w:tr>
      <w:tr>
        <w:trPr>
          <w:trHeight w:val="235"/>
        </w:trPr>
        <w:tc>
          <w:tcPr>
            <w:tcW w:w="86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09"/>
        </w:trPr>
        <w:tc>
          <w:tcPr>
            <w:tcW w:w="8680" w:type="dxa"/>
            <w:vAlign w:val="bottom"/>
            <w:shd w:val="clear" w:color="auto" w:fill="CCEEFF"/>
          </w:tcPr>
          <w:p>
            <w:pPr>
              <w:ind w:left="40"/>
              <w:spacing w:after="0"/>
              <w:rPr>
                <w:sz w:val="20"/>
                <w:szCs w:val="20"/>
                <w:color w:val="auto"/>
              </w:rPr>
            </w:pPr>
            <w:r>
              <w:rPr>
                <w:rFonts w:ascii="Arial" w:cs="Arial" w:eastAsia="Arial" w:hAnsi="Arial"/>
                <w:sz w:val="17"/>
                <w:szCs w:val="17"/>
                <w:color w:val="auto"/>
              </w:rPr>
              <w:t>Weighted average number of shares outstanding</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10,807,841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96"/>
              </w:rPr>
              <w:t>10,757,843</w:t>
            </w:r>
          </w:p>
        </w:tc>
      </w:tr>
      <w:tr>
        <w:trPr>
          <w:trHeight w:val="209"/>
        </w:trPr>
        <w:tc>
          <w:tcPr>
            <w:tcW w:w="8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09"/>
        </w:trPr>
        <w:tc>
          <w:tcPr>
            <w:tcW w:w="8680" w:type="dxa"/>
            <w:vAlign w:val="bottom"/>
            <w:shd w:val="clear" w:color="auto" w:fill="CCEEFF"/>
          </w:tcPr>
          <w:p>
            <w:pPr>
              <w:ind w:left="40"/>
              <w:spacing w:after="0"/>
              <w:rPr>
                <w:sz w:val="20"/>
                <w:szCs w:val="20"/>
                <w:color w:val="auto"/>
              </w:rPr>
            </w:pPr>
            <w:r>
              <w:rPr>
                <w:rFonts w:ascii="Arial" w:cs="Arial" w:eastAsia="Arial" w:hAnsi="Arial"/>
                <w:sz w:val="17"/>
                <w:szCs w:val="17"/>
                <w:color w:val="auto"/>
              </w:rPr>
              <w:t>Effect of dilutive securities, common share equivalents:</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09"/>
        </w:trPr>
        <w:tc>
          <w:tcPr>
            <w:tcW w:w="8680" w:type="dxa"/>
            <w:vAlign w:val="bottom"/>
          </w:tcPr>
          <w:p>
            <w:pPr>
              <w:ind w:left="40"/>
              <w:spacing w:after="0"/>
              <w:rPr>
                <w:sz w:val="20"/>
                <w:szCs w:val="20"/>
                <w:color w:val="auto"/>
              </w:rPr>
            </w:pPr>
            <w:r>
              <w:rPr>
                <w:rFonts w:ascii="Arial" w:cs="Arial" w:eastAsia="Arial" w:hAnsi="Arial"/>
                <w:sz w:val="17"/>
                <w:szCs w:val="17"/>
                <w:color w:val="auto"/>
              </w:rPr>
              <w:t>Stock options</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r>
      <w:tr>
        <w:trPr>
          <w:trHeight w:val="215"/>
        </w:trPr>
        <w:tc>
          <w:tcPr>
            <w:tcW w:w="868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Restricted stock awards</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r>
      <w:tr>
        <w:trPr>
          <w:trHeight w:val="209"/>
        </w:trPr>
        <w:tc>
          <w:tcPr>
            <w:tcW w:w="868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r>
      <w:tr>
        <w:trPr>
          <w:trHeight w:val="209"/>
        </w:trPr>
        <w:tc>
          <w:tcPr>
            <w:tcW w:w="8680" w:type="dxa"/>
            <w:vAlign w:val="bottom"/>
            <w:shd w:val="clear" w:color="auto" w:fill="CCEEFF"/>
          </w:tcPr>
          <w:p>
            <w:pPr>
              <w:ind w:left="40"/>
              <w:spacing w:after="0"/>
              <w:rPr>
                <w:sz w:val="20"/>
                <w:szCs w:val="20"/>
                <w:color w:val="auto"/>
              </w:rPr>
            </w:pPr>
            <w:r>
              <w:rPr>
                <w:rFonts w:ascii="Arial" w:cs="Arial" w:eastAsia="Arial" w:hAnsi="Arial"/>
                <w:sz w:val="17"/>
                <w:szCs w:val="17"/>
                <w:color w:val="auto"/>
              </w:rPr>
              <w:t>Weighted average number of shares outstanding,</w:t>
            </w: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09"/>
        </w:trPr>
        <w:tc>
          <w:tcPr>
            <w:tcW w:w="8680" w:type="dxa"/>
            <w:vAlign w:val="bottom"/>
          </w:tcPr>
          <w:p>
            <w:pPr>
              <w:ind w:left="40"/>
              <w:spacing w:after="0"/>
              <w:rPr>
                <w:sz w:val="20"/>
                <w:szCs w:val="20"/>
                <w:color w:val="auto"/>
              </w:rPr>
            </w:pPr>
            <w:r>
              <w:rPr>
                <w:rFonts w:ascii="Arial" w:cs="Arial" w:eastAsia="Arial" w:hAnsi="Arial"/>
                <w:sz w:val="17"/>
                <w:szCs w:val="17"/>
                <w:color w:val="auto"/>
              </w:rPr>
              <w:t>used for computing diluted earnings per share</w:t>
            </w:r>
          </w:p>
        </w:tc>
        <w:tc>
          <w:tcPr>
            <w:tcW w:w="940" w:type="dxa"/>
            <w:vAlign w:val="bottom"/>
          </w:tcPr>
          <w:p>
            <w:pPr>
              <w:jc w:val="right"/>
              <w:spacing w:after="0"/>
              <w:rPr>
                <w:sz w:val="20"/>
                <w:szCs w:val="20"/>
                <w:color w:val="auto"/>
              </w:rPr>
            </w:pPr>
            <w:r>
              <w:rPr>
                <w:rFonts w:ascii="Arial" w:cs="Arial" w:eastAsia="Arial" w:hAnsi="Arial"/>
                <w:sz w:val="17"/>
                <w:szCs w:val="17"/>
                <w:color w:val="auto"/>
              </w:rPr>
              <w:t>10,807,841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7"/>
                <w:szCs w:val="17"/>
                <w:color w:val="auto"/>
                <w:w w:val="96"/>
              </w:rPr>
              <w:t>10,757,843</w:t>
            </w:r>
          </w:p>
        </w:tc>
      </w:tr>
      <w:tr>
        <w:trPr>
          <w:trHeight w:val="20"/>
        </w:trPr>
        <w:tc>
          <w:tcPr>
            <w:tcW w:w="86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 Commitments and Contingencies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Litigation</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From time to time, the Company is involved in various legal proceedings in the ordinary course of business. For example, to the extent a claim is asserted by a third party in a lawsuit against one of the Company’s insureds covered by a particular policy, the Company may have a duty to defend the insured party against the claim. These claims may relate to bodily injury, property damage or other compensable injuries as set forth in the policy. Such proceedings are considered in estimating the liability for loss and LAE expenses.</w:t>
      </w:r>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 xml:space="preserve">On June 12, 2019, Phillip Woolgar filed a suit naming the Company and certain present or former officers and directors as defendants in a putative class action captioned </w:t>
      </w:r>
      <w:r>
        <w:rPr>
          <w:rFonts w:ascii="Arial" w:cs="Arial" w:eastAsia="Arial" w:hAnsi="Arial"/>
          <w:sz w:val="16"/>
          <w:szCs w:val="16"/>
          <w:i w:val="1"/>
          <w:iCs w:val="1"/>
          <w:color w:val="auto"/>
        </w:rPr>
        <w:t>Woolgar v. Kingstone Companies et al.</w:t>
      </w:r>
      <w:r>
        <w:rPr>
          <w:rFonts w:ascii="Arial" w:cs="Arial" w:eastAsia="Arial" w:hAnsi="Arial"/>
          <w:sz w:val="16"/>
          <w:szCs w:val="16"/>
          <w:color w:val="auto"/>
        </w:rPr>
        <w:t>, 19 cv 05500 (S.D.N.Y.), asserting claims under Section 10(b) of the Exchange Act and SEC Rule 10b-5 promulgated thereunder and Section 20(a) of the Exchange Act. Plaintiff seeks to represent a class of persons or entities that purchased Kingstone securities between March 14, 2018, and April 29, 2019, and alleges violations of the federal securities law in connection with the Company’s April 29, 2019 announcement regarding losses related to winter catastrophe events. The lawsuit alleges that the Company failed to disclose that it did not adequately follow industry best practices related to claims handling and thus did not record sufficient claim reserves, and that as a result, Defendants’ positive statements about the Company’s business, operations and prospects misled investors. Plaintiff seeks, among other things, an undetermined amount of money damages. The Company believes the lawsuit to be without merit. The Company has not established an accrual for this matter as a loss is not considered to be probable and reasonably estimable. It is the opinion of management, after consulting legal counsel, that facts known at the present time do not indicate that such litigation will have a material adverse impact on the Company’s results of operations, financial position, or cash flows. On February 18, 2020, a motion to dismiss was filed with the court. On April 20, 2020, plaintiff filed an opposition to Company’s motion to dismiss.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u w:val="single" w:color="auto"/>
          <w:color w:val="auto"/>
        </w:rPr>
        <w:t>Office Lease</w:t>
      </w:r>
    </w:p>
    <w:p>
      <w:pPr>
        <w:spacing w:after="0" w:line="223" w:lineRule="exact"/>
        <w:rPr>
          <w:sz w:val="20"/>
          <w:szCs w:val="20"/>
          <w:color w:val="auto"/>
        </w:rPr>
      </w:pPr>
    </w:p>
    <w:p>
      <w:pPr>
        <w:jc w:val="both"/>
        <w:ind w:right="20"/>
        <w:spacing w:after="0" w:line="281" w:lineRule="auto"/>
        <w:rPr>
          <w:sz w:val="20"/>
          <w:szCs w:val="20"/>
          <w:color w:val="auto"/>
        </w:rPr>
      </w:pPr>
      <w:r>
        <w:rPr>
          <w:rFonts w:ascii="Arial" w:cs="Arial" w:eastAsia="Arial" w:hAnsi="Arial"/>
          <w:sz w:val="17"/>
          <w:szCs w:val="17"/>
          <w:color w:val="auto"/>
        </w:rPr>
        <w:t>The Company enters into lease agreements for real estate that is primarily used for office space in the ordinary course of business. These leases are accounted for as operating leases, whereby lease expense is recognized on a straight-line basis over the term of the lease.</w:t>
      </w:r>
    </w:p>
    <w:p>
      <w:pPr>
        <w:spacing w:after="0" w:line="170" w:lineRule="exact"/>
        <w:rPr>
          <w:sz w:val="20"/>
          <w:szCs w:val="20"/>
          <w:color w:val="auto"/>
        </w:rPr>
      </w:pPr>
    </w:p>
    <w:p>
      <w:pPr>
        <w:jc w:val="both"/>
        <w:ind w:right="20"/>
        <w:spacing w:after="0" w:line="281" w:lineRule="auto"/>
        <w:rPr>
          <w:sz w:val="20"/>
          <w:szCs w:val="20"/>
          <w:color w:val="auto"/>
        </w:rPr>
      </w:pPr>
      <w:r>
        <w:rPr>
          <w:rFonts w:ascii="Arial" w:cs="Arial" w:eastAsia="Arial" w:hAnsi="Arial"/>
          <w:sz w:val="17"/>
          <w:szCs w:val="17"/>
          <w:color w:val="auto"/>
        </w:rPr>
        <w:t>The Company is a party to a non-cancellable operating lease, dated March 27, 2015, for its office facility for KICO located in Valley Stream, New York expiring March 31, 2024.</w:t>
      </w:r>
    </w:p>
    <w:p>
      <w:pPr>
        <w:spacing w:after="0" w:line="170"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On July 8, 2019, the Company entered into a lease agreement for an additional office facility for Cosi located in Valley Stream, New York under a non-cancelable operating lease. In addition to the base rental costs, occupancy lease agreements generally provide for rent escalations resulting from increased assessments from real estate taxes and other charges. The lease has a term of seven years and two months expiring December 31, 2026.</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Additional information regarding the Company’s office operating leases is as follows: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4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9"/>
        </w:trPr>
        <w:tc>
          <w:tcPr>
            <w:tcW w:w="8560" w:type="dxa"/>
            <w:vAlign w:val="bottom"/>
            <w:vMerge w:val="restart"/>
          </w:tcPr>
          <w:p>
            <w:pPr>
              <w:spacing w:after="0"/>
              <w:rPr>
                <w:sz w:val="20"/>
                <w:szCs w:val="20"/>
                <w:color w:val="auto"/>
              </w:rPr>
            </w:pPr>
            <w:r>
              <w:rPr>
                <w:rFonts w:ascii="Arial" w:cs="Arial" w:eastAsia="Arial" w:hAnsi="Arial"/>
                <w:sz w:val="17"/>
                <w:szCs w:val="17"/>
                <w:b w:val="1"/>
                <w:bCs w:val="1"/>
                <w:color w:val="auto"/>
              </w:rPr>
              <w:t>Lease cost</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15"/>
              <w:spacing w:after="0"/>
              <w:rPr>
                <w:sz w:val="20"/>
                <w:szCs w:val="20"/>
                <w:color w:val="auto"/>
              </w:rPr>
            </w:pPr>
            <w:r>
              <w:rPr>
                <w:rFonts w:ascii="Arial" w:cs="Arial" w:eastAsia="Arial" w:hAnsi="Arial"/>
                <w:sz w:val="14"/>
                <w:szCs w:val="14"/>
                <w:b w:val="1"/>
                <w:bCs w:val="1"/>
                <w:color w:val="auto"/>
              </w:rPr>
              <w:t>March 31,</w:t>
            </w: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5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Operating leases</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81,251</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41,342</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560" w:type="dxa"/>
            <w:vAlign w:val="bottom"/>
          </w:tcPr>
          <w:p>
            <w:pPr>
              <w:ind w:left="40"/>
              <w:spacing w:after="0"/>
              <w:rPr>
                <w:sz w:val="20"/>
                <w:szCs w:val="20"/>
                <w:color w:val="auto"/>
              </w:rPr>
            </w:pPr>
            <w:r>
              <w:rPr>
                <w:rFonts w:ascii="Arial" w:cs="Arial" w:eastAsia="Arial" w:hAnsi="Arial"/>
                <w:sz w:val="17"/>
                <w:szCs w:val="17"/>
                <w:color w:val="auto"/>
              </w:rPr>
              <w:t>Short-term leases</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 lease cost (1)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81,251</w:t>
            </w:r>
          </w:p>
        </w:tc>
        <w:tc>
          <w:tcPr>
            <w:tcW w:w="26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41,342</w:t>
            </w:r>
          </w:p>
        </w:tc>
        <w:tc>
          <w:tcPr>
            <w:tcW w:w="1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856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information on operating leases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560" w:type="dxa"/>
            <w:vAlign w:val="bottom"/>
          </w:tcPr>
          <w:p>
            <w:pPr>
              <w:ind w:left="60"/>
              <w:spacing w:after="0"/>
              <w:rPr>
                <w:sz w:val="20"/>
                <w:szCs w:val="20"/>
                <w:color w:val="auto"/>
              </w:rPr>
            </w:pPr>
            <w:r>
              <w:rPr>
                <w:rFonts w:ascii="Arial" w:cs="Arial" w:eastAsia="Arial" w:hAnsi="Arial"/>
                <w:sz w:val="17"/>
                <w:szCs w:val="17"/>
                <w:color w:val="auto"/>
              </w:rPr>
              <w:t>Cash payments included in the measurement of lease</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560" w:type="dxa"/>
            <w:vAlign w:val="bottom"/>
            <w:shd w:val="clear" w:color="auto" w:fill="CCEEFF"/>
          </w:tcPr>
          <w:p>
            <w:pPr>
              <w:spacing w:after="0"/>
              <w:rPr>
                <w:sz w:val="20"/>
                <w:szCs w:val="20"/>
                <w:color w:val="auto"/>
              </w:rPr>
            </w:pPr>
            <w:r>
              <w:rPr>
                <w:rFonts w:ascii="Arial" w:cs="Arial" w:eastAsia="Arial" w:hAnsi="Arial"/>
                <w:sz w:val="17"/>
                <w:szCs w:val="17"/>
                <w:color w:val="auto"/>
              </w:rPr>
              <w:t>liability reported in operating cash flows</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82,736</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41,379</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tcPr>
          <w:p>
            <w:pPr>
              <w:spacing w:after="0"/>
              <w:rPr>
                <w:sz w:val="20"/>
                <w:szCs w:val="20"/>
                <w:color w:val="auto"/>
              </w:rPr>
            </w:pPr>
            <w:r>
              <w:rPr>
                <w:rFonts w:ascii="Arial" w:cs="Arial" w:eastAsia="Arial" w:hAnsi="Arial"/>
                <w:sz w:val="17"/>
                <w:szCs w:val="17"/>
                <w:color w:val="auto"/>
              </w:rPr>
              <w:t>Discount rate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5.50%</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5.50%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shd w:val="clear" w:color="auto" w:fill="CCEEFF"/>
          </w:tcPr>
          <w:p>
            <w:pPr>
              <w:spacing w:after="0"/>
              <w:rPr>
                <w:sz w:val="20"/>
                <w:szCs w:val="20"/>
                <w:color w:val="auto"/>
              </w:rPr>
            </w:pPr>
            <w:r>
              <w:rPr>
                <w:rFonts w:ascii="Arial" w:cs="Arial" w:eastAsia="Arial" w:hAnsi="Arial"/>
                <w:sz w:val="17"/>
                <w:szCs w:val="17"/>
                <w:color w:val="auto"/>
              </w:rPr>
              <w:t>Weighted average remaining lease term in years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5.71 years</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40" w:right="20" w:hanging="322"/>
        <w:spacing w:after="0" w:line="270" w:lineRule="auto"/>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Included in the condensed consolidated statements of operations and comprehensive loss within other underwriting expenses for KICO and within other operating expenses for Cosi.</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contractual maturities of the Company’s lease liabilities as of March 31, 2020:</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00" w:type="dxa"/>
            <w:vAlign w:val="bottom"/>
          </w:tcPr>
          <w:p>
            <w:pPr>
              <w:jc w:val="center"/>
              <w:spacing w:after="0"/>
              <w:rPr>
                <w:sz w:val="20"/>
                <w:szCs w:val="20"/>
                <w:color w:val="auto"/>
              </w:rPr>
            </w:pPr>
            <w:r>
              <w:rPr>
                <w:rFonts w:ascii="Arial" w:cs="Arial" w:eastAsia="Arial" w:hAnsi="Arial"/>
                <w:sz w:val="14"/>
                <w:szCs w:val="14"/>
                <w:b w:val="1"/>
                <w:bCs w:val="1"/>
                <w:color w:val="auto"/>
                <w:w w:val="95"/>
              </w:rPr>
              <w:t>For the Year</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7"/>
        </w:trPr>
        <w:tc>
          <w:tcPr>
            <w:tcW w:w="99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6"/>
              </w:rPr>
              <w:t>Ending</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6"/>
        </w:trPr>
        <w:tc>
          <w:tcPr>
            <w:tcW w:w="9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5"/>
                <w:szCs w:val="15"/>
                <w:color w:val="auto"/>
              </w:rPr>
            </w:pPr>
          </w:p>
        </w:tc>
      </w:tr>
      <w:tr>
        <w:trPr>
          <w:trHeight w:val="209"/>
        </w:trPr>
        <w:tc>
          <w:tcPr>
            <w:tcW w:w="9900" w:type="dxa"/>
            <w:vAlign w:val="bottom"/>
            <w:shd w:val="clear" w:color="auto" w:fill="CCEEFF"/>
          </w:tcPr>
          <w:p>
            <w:pPr>
              <w:spacing w:after="0"/>
              <w:rPr>
                <w:sz w:val="20"/>
                <w:szCs w:val="20"/>
                <w:color w:val="auto"/>
              </w:rPr>
            </w:pPr>
            <w:r>
              <w:rPr>
                <w:rFonts w:ascii="Arial" w:cs="Arial" w:eastAsia="Arial" w:hAnsi="Arial"/>
                <w:sz w:val="17"/>
                <w:szCs w:val="17"/>
                <w:color w:val="auto"/>
              </w:rPr>
              <w:t>Remainder of 2020</w:t>
            </w:r>
          </w:p>
        </w:tc>
        <w:tc>
          <w:tcPr>
            <w:tcW w:w="380" w:type="dxa"/>
            <w:vAlign w:val="bottom"/>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102,691</w:t>
            </w:r>
          </w:p>
        </w:tc>
        <w:tc>
          <w:tcPr>
            <w:tcW w:w="120" w:type="dxa"/>
            <w:vAlign w:val="bottom"/>
            <w:shd w:val="clear" w:color="auto" w:fill="CCEEFF"/>
          </w:tcPr>
          <w:p>
            <w:pPr>
              <w:spacing w:after="0"/>
              <w:rPr>
                <w:sz w:val="18"/>
                <w:szCs w:val="18"/>
                <w:color w:val="auto"/>
              </w:rPr>
            </w:pPr>
          </w:p>
        </w:tc>
      </w:tr>
      <w:tr>
        <w:trPr>
          <w:trHeight w:val="209"/>
        </w:trPr>
        <w:tc>
          <w:tcPr>
            <w:tcW w:w="9900" w:type="dxa"/>
            <w:vAlign w:val="bottom"/>
          </w:tcPr>
          <w:p>
            <w:pPr>
              <w:spacing w:after="0"/>
              <w:rPr>
                <w:sz w:val="20"/>
                <w:szCs w:val="20"/>
                <w:color w:val="auto"/>
              </w:rPr>
            </w:pPr>
            <w:r>
              <w:rPr>
                <w:rFonts w:ascii="Arial" w:cs="Arial" w:eastAsia="Arial" w:hAnsi="Arial"/>
                <w:sz w:val="17"/>
                <w:szCs w:val="17"/>
                <w:color w:val="auto"/>
              </w:rPr>
              <w:t>2021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264,571</w:t>
            </w:r>
          </w:p>
        </w:tc>
        <w:tc>
          <w:tcPr>
            <w:tcW w:w="120" w:type="dxa"/>
            <w:vAlign w:val="bottom"/>
          </w:tcPr>
          <w:p>
            <w:pPr>
              <w:spacing w:after="0"/>
              <w:rPr>
                <w:sz w:val="18"/>
                <w:szCs w:val="18"/>
                <w:color w:val="auto"/>
              </w:rPr>
            </w:pPr>
          </w:p>
        </w:tc>
      </w:tr>
      <w:tr>
        <w:trPr>
          <w:trHeight w:val="209"/>
        </w:trPr>
        <w:tc>
          <w:tcPr>
            <w:tcW w:w="9900" w:type="dxa"/>
            <w:vAlign w:val="bottom"/>
            <w:shd w:val="clear" w:color="auto" w:fill="CCEEFF"/>
          </w:tcPr>
          <w:p>
            <w:pPr>
              <w:spacing w:after="0"/>
              <w:rPr>
                <w:sz w:val="20"/>
                <w:szCs w:val="20"/>
                <w:color w:val="auto"/>
              </w:rPr>
            </w:pPr>
            <w:r>
              <w:rPr>
                <w:rFonts w:ascii="Arial" w:cs="Arial" w:eastAsia="Arial" w:hAnsi="Arial"/>
                <w:sz w:val="17"/>
                <w:szCs w:val="17"/>
                <w:color w:val="auto"/>
              </w:rPr>
              <w:t>2022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273,831</w:t>
            </w:r>
          </w:p>
        </w:tc>
        <w:tc>
          <w:tcPr>
            <w:tcW w:w="120" w:type="dxa"/>
            <w:vAlign w:val="bottom"/>
            <w:shd w:val="clear" w:color="auto" w:fill="CCEEFF"/>
          </w:tcPr>
          <w:p>
            <w:pPr>
              <w:spacing w:after="0"/>
              <w:rPr>
                <w:sz w:val="18"/>
                <w:szCs w:val="18"/>
                <w:color w:val="auto"/>
              </w:rPr>
            </w:pPr>
          </w:p>
        </w:tc>
      </w:tr>
      <w:tr>
        <w:trPr>
          <w:trHeight w:val="209"/>
        </w:trPr>
        <w:tc>
          <w:tcPr>
            <w:tcW w:w="9900" w:type="dxa"/>
            <w:vAlign w:val="bottom"/>
          </w:tcPr>
          <w:p>
            <w:pPr>
              <w:spacing w:after="0"/>
              <w:rPr>
                <w:sz w:val="20"/>
                <w:szCs w:val="20"/>
                <w:color w:val="auto"/>
              </w:rPr>
            </w:pPr>
            <w:r>
              <w:rPr>
                <w:rFonts w:ascii="Arial" w:cs="Arial" w:eastAsia="Arial" w:hAnsi="Arial"/>
                <w:sz w:val="17"/>
                <w:szCs w:val="17"/>
                <w:color w:val="auto"/>
              </w:rPr>
              <w:t>2023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283,415</w:t>
            </w:r>
          </w:p>
        </w:tc>
        <w:tc>
          <w:tcPr>
            <w:tcW w:w="120" w:type="dxa"/>
            <w:vAlign w:val="bottom"/>
          </w:tcPr>
          <w:p>
            <w:pPr>
              <w:spacing w:after="0"/>
              <w:rPr>
                <w:sz w:val="18"/>
                <w:szCs w:val="18"/>
                <w:color w:val="auto"/>
              </w:rPr>
            </w:pPr>
          </w:p>
        </w:tc>
      </w:tr>
      <w:tr>
        <w:trPr>
          <w:trHeight w:val="209"/>
        </w:trPr>
        <w:tc>
          <w:tcPr>
            <w:tcW w:w="9900" w:type="dxa"/>
            <w:vAlign w:val="bottom"/>
            <w:shd w:val="clear" w:color="auto" w:fill="CCEEFF"/>
          </w:tcPr>
          <w:p>
            <w:pPr>
              <w:spacing w:after="0"/>
              <w:rPr>
                <w:sz w:val="20"/>
                <w:szCs w:val="20"/>
                <w:color w:val="auto"/>
              </w:rPr>
            </w:pPr>
            <w:r>
              <w:rPr>
                <w:rFonts w:ascii="Arial" w:cs="Arial" w:eastAsia="Arial" w:hAnsi="Arial"/>
                <w:sz w:val="17"/>
                <w:szCs w:val="17"/>
                <w:color w:val="auto"/>
              </w:rPr>
              <w:t>2024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140,739</w:t>
            </w:r>
          </w:p>
        </w:tc>
        <w:tc>
          <w:tcPr>
            <w:tcW w:w="120" w:type="dxa"/>
            <w:vAlign w:val="bottom"/>
            <w:shd w:val="clear" w:color="auto" w:fill="CCEEFF"/>
          </w:tcPr>
          <w:p>
            <w:pPr>
              <w:spacing w:after="0"/>
              <w:rPr>
                <w:sz w:val="18"/>
                <w:szCs w:val="18"/>
                <w:color w:val="auto"/>
              </w:rPr>
            </w:pPr>
          </w:p>
        </w:tc>
      </w:tr>
      <w:tr>
        <w:trPr>
          <w:trHeight w:val="215"/>
        </w:trPr>
        <w:tc>
          <w:tcPr>
            <w:tcW w:w="9900" w:type="dxa"/>
            <w:vAlign w:val="bottom"/>
          </w:tcPr>
          <w:p>
            <w:pPr>
              <w:ind w:left="40"/>
              <w:spacing w:after="0"/>
              <w:rPr>
                <w:sz w:val="20"/>
                <w:szCs w:val="20"/>
                <w:color w:val="auto"/>
              </w:rPr>
            </w:pPr>
            <w:r>
              <w:rPr>
                <w:rFonts w:ascii="Arial" w:cs="Arial" w:eastAsia="Arial" w:hAnsi="Arial"/>
                <w:sz w:val="17"/>
                <w:szCs w:val="17"/>
                <w:color w:val="auto"/>
              </w:rPr>
              <w:t>Thereafter</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192,916</w:t>
            </w:r>
          </w:p>
        </w:tc>
        <w:tc>
          <w:tcPr>
            <w:tcW w:w="120" w:type="dxa"/>
            <w:vAlign w:val="bottom"/>
          </w:tcPr>
          <w:p>
            <w:pPr>
              <w:spacing w:after="0"/>
              <w:rPr>
                <w:sz w:val="18"/>
                <w:szCs w:val="18"/>
                <w:color w:val="auto"/>
              </w:rPr>
            </w:pPr>
          </w:p>
        </w:tc>
      </w:tr>
      <w:tr>
        <w:trPr>
          <w:trHeight w:val="209"/>
        </w:trPr>
        <w:tc>
          <w:tcPr>
            <w:tcW w:w="990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 undiscounted lease payments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1,348,314</w:t>
            </w:r>
          </w:p>
        </w:tc>
        <w:tc>
          <w:tcPr>
            <w:tcW w:w="120" w:type="dxa"/>
            <w:vAlign w:val="bottom"/>
            <w:shd w:val="clear" w:color="auto" w:fill="CCEEFF"/>
          </w:tcPr>
          <w:p>
            <w:pPr>
              <w:spacing w:after="0"/>
              <w:rPr>
                <w:sz w:val="18"/>
                <w:szCs w:val="18"/>
                <w:color w:val="auto"/>
              </w:rPr>
            </w:pPr>
          </w:p>
        </w:tc>
      </w:tr>
      <w:tr>
        <w:trPr>
          <w:trHeight w:val="215"/>
        </w:trPr>
        <w:tc>
          <w:tcPr>
            <w:tcW w:w="9900" w:type="dxa"/>
            <w:vAlign w:val="bottom"/>
          </w:tcPr>
          <w:p>
            <w:pPr>
              <w:ind w:left="40"/>
              <w:spacing w:after="0"/>
              <w:rPr>
                <w:sz w:val="20"/>
                <w:szCs w:val="20"/>
                <w:color w:val="auto"/>
              </w:rPr>
            </w:pPr>
            <w:r>
              <w:rPr>
                <w:rFonts w:ascii="Arial" w:cs="Arial" w:eastAsia="Arial" w:hAnsi="Arial"/>
                <w:sz w:val="17"/>
                <w:szCs w:val="17"/>
                <w:color w:val="auto"/>
              </w:rPr>
              <w:t>Less: present value adjustment</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54,213</w:t>
            </w:r>
          </w:p>
        </w:tc>
        <w:tc>
          <w:tcPr>
            <w:tcW w:w="120" w:type="dxa"/>
            <w:vAlign w:val="bottom"/>
          </w:tcPr>
          <w:p>
            <w:pPr>
              <w:spacing w:after="0"/>
              <w:rPr>
                <w:sz w:val="18"/>
                <w:szCs w:val="18"/>
                <w:color w:val="auto"/>
              </w:rPr>
            </w:pPr>
          </w:p>
        </w:tc>
      </w:tr>
      <w:tr>
        <w:trPr>
          <w:trHeight w:val="249"/>
        </w:trPr>
        <w:tc>
          <w:tcPr>
            <w:tcW w:w="9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Operating lease liability</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1,203,949</w:t>
            </w:r>
          </w:p>
        </w:tc>
        <w:tc>
          <w:tcPr>
            <w:tcW w:w="120" w:type="dxa"/>
            <w:vAlign w:val="bottom"/>
            <w:tcBorders>
              <w:bottom w:val="single" w:sz="8" w:color="CCEEFF"/>
            </w:tcBorders>
            <w:shd w:val="clear" w:color="auto" w:fill="CCEEFF"/>
          </w:tcPr>
          <w:p>
            <w:pPr>
              <w:spacing w:after="0"/>
              <w:rPr>
                <w:sz w:val="21"/>
                <w:szCs w:val="21"/>
                <w:color w:val="auto"/>
              </w:rPr>
            </w:pPr>
          </w:p>
        </w:tc>
      </w:tr>
    </w:tbl>
    <w:p>
      <w:pPr>
        <w:spacing w:after="0" w:line="227" w:lineRule="exact"/>
        <w:rPr>
          <w:sz w:val="20"/>
          <w:szCs w:val="20"/>
          <w:color w:val="auto"/>
        </w:rPr>
      </w:pPr>
    </w:p>
    <w:p>
      <w:pPr>
        <w:jc w:val="both"/>
        <w:ind w:right="20"/>
        <w:spacing w:after="0" w:line="281" w:lineRule="auto"/>
        <w:rPr>
          <w:sz w:val="20"/>
          <w:szCs w:val="20"/>
          <w:color w:val="auto"/>
        </w:rPr>
      </w:pPr>
      <w:r>
        <w:rPr>
          <w:rFonts w:ascii="Arial" w:cs="Arial" w:eastAsia="Arial" w:hAnsi="Arial"/>
          <w:sz w:val="17"/>
          <w:szCs w:val="17"/>
          <w:color w:val="auto"/>
        </w:rPr>
        <w:t>Rent expense for the three months ended March 31, 2020 and 2019 amounted to $81,251 and $41,342, respectively. Rent expense is included in the accompanying condensed consolidated statements of operations and comprehensive loss within other underwriting expenses.</w:t>
      </w: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60"/>
          </w:cols>
          <w:pgMar w:left="320" w:top="549" w:right="319" w:bottom="1440" w:gutter="0" w:footer="0" w:header="0"/>
        </w:sectPr>
      </w:pPr>
    </w:p>
    <w:bookmarkStart w:id="32" w:name="page33"/>
    <w:bookmarkEnd w:id="32"/>
    <w:p>
      <w:pPr>
        <w:spacing w:after="0"/>
        <w:rPr>
          <w:sz w:val="20"/>
          <w:szCs w:val="20"/>
          <w:color w:val="auto"/>
        </w:rPr>
      </w:pPr>
      <w:r>
        <w:rPr>
          <w:rFonts w:ascii="Arial" w:cs="Arial" w:eastAsia="Arial" w:hAnsi="Arial"/>
          <w:sz w:val="17"/>
          <w:szCs w:val="17"/>
          <w:u w:val="single" w:color="auto"/>
          <w:color w:val="auto"/>
        </w:rPr>
        <w:t>Employment Agreements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Barry Goldstein, President, Chief Executive Officer and Executive Chairman of the Board</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On October 14, 2019, the Company and Barry B. Goldstein, the Company’s President, Chief Executive Officer and Executive Chairman of the Board, entered into a Second Amended and Restated Employment Agreement (the “Amended Employment Agreement”). The Amended Employment Agreement is effective as of January 1, 2020 and expires on December 31, 2022. The Amended Employment Agreement extends the expiration date of the employment agreement in effect for Mr. Goldstein from December 31, 2021 to December 31, 2022.</w:t>
      </w:r>
    </w:p>
    <w:p>
      <w:pPr>
        <w:spacing w:after="0" w:line="185"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Pursuant to the Amended Employment Agreement, Mr. Goldstein is entitled to receive an annual base salary of $500,000 and an annual bonus equal to 6% of the Company’s consolidated income from operations before taxes, exclusive of the Company’s consolidated net investment income (loss), net unrealized gains (losses) on equity securities and net realized gains (losses) on investments, up to a maximum of 2.5 times his base salary. In addition, pursuant to the Amended Employment Agreement, Mr. Goldstein is entitled to receive a long-term compensation (“LTC”) award of between $945,000 and $2,835,000 based on a specified minimum increase in the Company’s adjusted book value per share (as defined in the Amended Employment Agreement) as of December 31, 2022 as compared to December 31, 2019 (with the maximum LTC payment being due if the average per annum increase is at least 14%). Further, pursuant to the Amended Employment Agreement, in the event that Mr. Goldstein’s employment is terminated by the Company without cause or he resigns for good reason (each as defined in the Amended Employment Agreement), Mr. Goldstein would be entitled to receive his base salary, the 6% bonus and the LTC payment for the remainder of the term. In addition, in the event of Mr. Goldstein’s death, his estate would be entitled to receive his base salary, accrued bonus and accrued LTC payment through the date of death. Further, in the event that Mr. Goldstein’s employment is terminated by the Company without cause or he resigns for good reason, or, in the event of the termination of Mr. Goldstein’s employment due to disability or death, Mr. Goldstein’s granted but unvested restricted stock awards will vest. Mr. Goldstein would be entitled, under certain circumstances, to a payment equal to 3.82 times his then annual salary, the target LTC payment of $1,890,000 and his accrued 6% bonus in the event of the termination of his employment within eighteen months following a change of control of the Company.</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Pursuant to the Amended Employment Agreement, in January 2020, Mr. Goldstein received a grant of 157,431 shares of restricted stock, under the terms of the Company’s 2014 Plan determined by dividing $1,250,000 by the fair market value of the Company’s Common Stock on the date of grant. This 2020 grant will become vested with respect to one-third of the award on each of the first and second anniversaries of the grant date and on December 31, 2022 based on the continued provision of services through the applicable vesting date. Also pursuant to the Amended Employment Agreement, Mr. Goldstein will be entitled to receive a grant, under the terms of the 2014 Plan, during January 2021, of a number of shares of restricted stock determined by dividing $1,500,000 by the fair market value of the Company’s Common Stock on the date of grant. The January 2021 grant will become vested with respect to one-half of the award on each of the first anniversary of the grant date and on December 31, 2022 based on the continued provision of services through the applicable vesting date. Further, pursuant to the Amended Employment Agreement, Mr. Goldstein is entitled to receive a grant, under the terms of the 2014 Plan, during each of 2020, 2021 and 2022, of a number of shares of restricted stock determined by dividing $136,500 by the fair market value of the Company’s Common Stock on the date of grant. In January 2020, Mr. Goldstein was granted 17,191 shares of restricted stock pursuant to this provision. This grant will become vested with respect to one-third of the award on each of the first and second anniversaries of the grant date and on December 31, 2022 based on the continued provision of services through the applicable vesting date. The 2021 grant will become vested with respect to one-half of the award on each of the first anniversary of the grant date and on December 31, 2022 based on the continued provision of services through the applicable vesting date. The 2022 grant will become vested on December 31, 2022 based on the continued provision of services through such date.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i w:val="1"/>
          <w:iCs w:val="1"/>
          <w:color w:val="auto"/>
        </w:rPr>
        <w:t>Dale A. Thatcher</w:t>
      </w:r>
    </w:p>
    <w:p>
      <w:pPr>
        <w:spacing w:after="0" w:line="223"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Effective July 19, 2019 (the “Separation Date”), Dale A. Thatcher retired and resigned his positions as Chief Executive Officer and President of the Company and KICO. At such time, he also resigned his positions on the Board of Directors of each of the Company and KICO. Effective upon Mr. Thatcher’s separation from employment, the Board appointed Barry B. Goldstein, former Chief Executive Officer and Executive Chairman of the Board of Directors, to the position of Chief Executive Officer and President of each of the Company and KICO. Mr. Goldstein previously served as Chief Executive Officer and President of the Company from March 2001 through December 31, 2018, and as Chief Executive Officer and President of KICO from January 2012 through December 31, 2018.</w:t>
      </w:r>
    </w:p>
    <w:p>
      <w:pPr>
        <w:spacing w:after="0" w:line="159"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In connection with his separation from employment, each of the Company and KICO entered into an Agreement and General Release (the “Separation Agreement”) with Mr. Thatcher. Pursuant to the Separation Agreement, the Company and KICO shall collectively provide the following payments and benefits to Mr. Thatcher in full satisfaction of all payments and benefits and other amounts due to him under the terms of the existing employment agreements upon his separation from employment: (i) $381,111 (representing the amount of base salary he would have received had he remained employed through March 31, 2020), (ii) $5,000 in full satisfaction for any bonus payments payable under the existing employment agreements, (iii) continuing group health coverage commencing on the Separation Date and ending on March 31, 2020, and (iv) continued vesting of all stock awards previously granted to Mr. Thatcher in his capacity as an executive officer but which were unvested as of the Separation Date (Mr. Thatcher shall not be entitled to any further grants of stock awards after the Separation Date). In addition, the Company and KICO agreed to provide Mr. Thatcher with a severance payment of $20,000 in consideration for a release. Pursuant to the Separation Agreement, Mr. Thatcher agreed that, for a period of three years following the Separation Date, he shall not accept any operating executive role with another property and casualty insurance company.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Meryl Golden, Chief Operating Officer</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September 16, 2019, the Company and Meryl Golden entered into an employment agreement (the “Golden Employment Agreement”) pursuant to which Ms. Golden serves as the Company’s Chief Operating Officer. Ms. Golden also serves as KICO’s Chief Operating Officer. The Golden Employment Agreement became effective as of September 25, 2019 and expires on December 31, 2021.</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Pursuant to the Golden Employment Agreement, Ms. Golden is entitled to receive an annual salary of $500,000 and was granted a five year option for the purchase of 50,000 shares of the Company’s Common Stock pursuant to the 2014 Plan. The options granted will vest in three equal installments, with the first installment vesting on the grant date, and the remaining installments vesting on the first and second anniversaries following the grant date, subject to the terms of the stock option agreement between the Company and Ms. Golden.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 Deferred Compensation Plan</w:t>
      </w:r>
    </w:p>
    <w:p>
      <w:pPr>
        <w:spacing w:after="0" w:line="227"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On June 18, 2018, the Company adopted the Kingstone Companies, Inc. Deferred Compensation Plan (the "Deferred Compensation Plan"). The Deferred Compensation Plan is offered to a select group (“Participants”), consisting of management and highly compensated employees as a method of recognizing and retaining such Participants. The Deferred Compensation Plan provides for eligible Participants to elect to defer up to 75% of their base compensation and up to 100% of bonuses and other compensation and to have such deferred amounts deemed to be invested in specified investment options. In addition to the Participant deferrals, the Company may choose to make matching contributions to some or all of the Participants in the Deferred Compensation Plan to the extent the Participant did not receive the maximum matching or non-elective contributions permissible under the Company’s 401(k) Plan due to limitations under the Internal Revenue Code or the 401(k) Plan. Participants may elect to receive payment of their account balances in a single cash payment or in annual installments for a period of up to ten years. The first payroll subject to the Deferred Compensation Plan was in July 2018. The deferred compensation liability as of March 31, 2020 and December 31, 2019 amounted to $524,190 and $599,274, respectively, and is recorded in accounts payable, accrued expenses and other liabilities in the accompanying condensed consolidated balance sheets. The Company did not make any voluntary contributions for the three months ended March 31, 2020 and 2019.</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color w:val="auto"/>
        </w:rPr>
        <w:t>Note 13 – Subsequent Events</w:t>
      </w:r>
    </w:p>
    <w:p>
      <w:pPr>
        <w:spacing w:after="0" w:line="16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The Company has evaluated events that occurred subsequent to March 31, 2020 through the date these condensed consolidated financial statements were issued for matters that required disclosure or adjustment in these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Dividends Declared</w:t>
      </w:r>
    </w:p>
    <w:p>
      <w:pPr>
        <w:spacing w:after="0" w:line="223"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On May 6, 2020, the Company’s Board of Directors approved a quarterly dividend of $0.04 per share payable in cash on June 15, 2020 to stockholders of record as of the close of business on May 29, 2020 (see Note 8).</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COVID 19</w:t>
      </w:r>
    </w:p>
    <w:p>
      <w:pPr>
        <w:spacing w:after="0" w:line="223"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The recent outbreak of the coronavirus, also known as "COVID-19", has spread across the globe and is impacting worldwide economic activity. Conditions surrounding the coronavirus continue to rapidly evolve and government authorities have implemented emergency measures to mitigate the spread of the virus. The outbreak and the related mitigation measures have had and will continue to have a material adverse impact on global economic conditions as well as on the Company's business activities. The extent to which COVID-19 may impact the Company's business activities will depend on future developments, such as the ultimate geographic spread of the disease, the duration of the outbreak, travel restrictions, business disruptions, and the effectiveness of actions taken in the United States and other countries to contain and treat the disease. These events are highly uncertain and, as such, the Company cannot determine their financial impact at this time. No adjustments have been made to the amounts reported in these condensed consolidated financial statements as a result of this matter.</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u w:val="single" w:color="auto"/>
          <w:color w:val="auto"/>
        </w:rPr>
        <w:t>ITEM 2</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MANAGEMENT’S DISCUSSION AND ANALYSIS OF FINANCIAL CONDITION AND RESULTS OF OPERATIONS</w:t>
      </w:r>
      <w:r>
        <w:rPr>
          <w:rFonts w:ascii="Arial" w:cs="Arial" w:eastAsia="Arial" w:hAnsi="Arial"/>
          <w:sz w:val="17"/>
          <w:szCs w:val="17"/>
          <w:color w:val="auto"/>
        </w:rPr>
        <w:t>.</w:t>
      </w:r>
    </w:p>
    <w:p>
      <w:pPr>
        <w:spacing w:after="0" w:line="161" w:lineRule="exact"/>
        <w:rPr>
          <w:sz w:val="20"/>
          <w:szCs w:val="20"/>
          <w:color w:val="auto"/>
        </w:rPr>
      </w:pPr>
    </w:p>
    <w:p>
      <w:pPr>
        <w:jc w:val="both"/>
        <w:ind w:firstLine="627"/>
        <w:spacing w:after="0" w:line="262" w:lineRule="auto"/>
        <w:rPr>
          <w:sz w:val="20"/>
          <w:szCs w:val="20"/>
          <w:color w:val="auto"/>
        </w:rPr>
      </w:pPr>
      <w:r>
        <w:rPr>
          <w:rFonts w:ascii="Arial" w:cs="Arial" w:eastAsia="Arial" w:hAnsi="Arial"/>
          <w:sz w:val="17"/>
          <w:szCs w:val="17"/>
          <w:color w:val="auto"/>
        </w:rPr>
        <w:t>We offer property and casualty insurance products to individuals through our wholly owned subsidiary, Kingstone Insurance Company (“KICO”). KICO’s insureds are located primarily in downstate New York, consisting of New York City, Long Island and Westchester County, although we are actively writing business in New Jersey, Rhode Island, Connecticut and Massachusetts. We are licensed in the States of New York, New Jersey, Rhode Island, Massachusetts, Connecticut, Pennsylvania, Maine, and New Hampshire. For the three months ended March 31, 2020, 82.7% of KICO’s direct written premiums came from the New York policies.</w:t>
      </w:r>
    </w:p>
    <w:p>
      <w:pPr>
        <w:spacing w:after="0" w:line="122" w:lineRule="exact"/>
        <w:rPr>
          <w:sz w:val="20"/>
          <w:szCs w:val="20"/>
          <w:color w:val="auto"/>
        </w:rPr>
      </w:pPr>
    </w:p>
    <w:p>
      <w:pPr>
        <w:jc w:val="both"/>
        <w:ind w:firstLine="672"/>
        <w:spacing w:after="0" w:line="280" w:lineRule="auto"/>
        <w:rPr>
          <w:sz w:val="20"/>
          <w:szCs w:val="20"/>
          <w:color w:val="auto"/>
        </w:rPr>
      </w:pPr>
      <w:r>
        <w:rPr>
          <w:rFonts w:ascii="Arial" w:cs="Arial" w:eastAsia="Arial" w:hAnsi="Arial"/>
          <w:sz w:val="16"/>
          <w:szCs w:val="16"/>
          <w:color w:val="auto"/>
        </w:rPr>
        <w:t>In addition, through our subsidiary, Cosi Agency, Inc. (“Cosi”), a multi-state licensed general agency, we access alternative distribution channels. Through Cosi, we have the opportunity to partner with name-brand carriers and access nationwide insurance agencies. See “Distribution Channels” below for a discussion of our distribution channels. Cosi receives commission revenue from KICO for the policies it places with others and pays commissions to these agencies. Cosi retains the profit between the commission revenue received and the commission expense paid. Cosi revenue is included in other income and Cosi related expenses are included in other operating expenses. Cosi operations are not included in our stand-alone insurance underwriting business and, accordingly, its revenue and expenses are not included in the calculation of our combined ratio as described below.</w:t>
      </w:r>
    </w:p>
    <w:p>
      <w:pPr>
        <w:spacing w:after="0" w:line="110" w:lineRule="exact"/>
        <w:rPr>
          <w:sz w:val="20"/>
          <w:szCs w:val="20"/>
          <w:color w:val="auto"/>
        </w:rPr>
      </w:pPr>
    </w:p>
    <w:p>
      <w:pPr>
        <w:jc w:val="both"/>
        <w:ind w:firstLine="627"/>
        <w:spacing w:after="0" w:line="260" w:lineRule="auto"/>
        <w:rPr>
          <w:sz w:val="20"/>
          <w:szCs w:val="20"/>
          <w:color w:val="auto"/>
        </w:rPr>
      </w:pPr>
      <w:r>
        <w:rPr>
          <w:rFonts w:ascii="Arial" w:cs="Arial" w:eastAsia="Arial" w:hAnsi="Arial"/>
          <w:sz w:val="17"/>
          <w:szCs w:val="17"/>
          <w:color w:val="auto"/>
        </w:rPr>
        <w:t>We derive substantially all of our revenue from KICO, which includes revenues from earned premiums, ceding commissions from quota share reinsurance, net investment income generated from its portfolio, and net realized gains and losses on investment securities. All of KICO’s insurance policies are written for a one-year term. Earned premiums represent premiums received from insureds, which are recognized as revenue over the period of time that insurance coverage is provided (i.e., ratably over the one-year life of the policy). A significant period of time can elapse from the receipt of insurance premiums to the payment of insurance claims. During this time, KICO invests the premiums, earns investment income and generates net realized and unrealized investment gains and losses on investments. Our holding company earns investment income from its cash holdings and may also generate net realized and unrealized investment gains and losses on future investments.</w:t>
      </w:r>
    </w:p>
    <w:p>
      <w:pPr>
        <w:spacing w:after="0" w:line="125" w:lineRule="exact"/>
        <w:rPr>
          <w:sz w:val="20"/>
          <w:szCs w:val="20"/>
          <w:color w:val="auto"/>
        </w:rPr>
      </w:pPr>
    </w:p>
    <w:p>
      <w:pPr>
        <w:jc w:val="both"/>
        <w:ind w:firstLine="627"/>
        <w:spacing w:after="0" w:line="310" w:lineRule="auto"/>
        <w:rPr>
          <w:sz w:val="20"/>
          <w:szCs w:val="20"/>
          <w:color w:val="auto"/>
        </w:rPr>
      </w:pPr>
      <w:r>
        <w:rPr>
          <w:rFonts w:ascii="Arial" w:cs="Arial" w:eastAsia="Arial" w:hAnsi="Arial"/>
          <w:sz w:val="15"/>
          <w:szCs w:val="15"/>
          <w:color w:val="auto"/>
        </w:rPr>
        <w:t>Our expenses include the insurance underwriting expenses of KICO and other operating expenses. Insurance companies incur a significant amount of their total expenses from losses incurred by policyholders, which are referred to as claims. In settling these claims, various loss adjustment expenses (“LAE”) are incurred such as insurance adjusters’ fees and legal expenses. In addition, insurance companies incur policy acquisition costs. Policy acquisition costs include commissions paid to producers, premium taxes, and other expenses related to the underwriting process, including employees’ compensation and benefits.</w:t>
      </w:r>
    </w:p>
    <w:p>
      <w:pPr>
        <w:spacing w:after="0" w:line="89" w:lineRule="exact"/>
        <w:rPr>
          <w:sz w:val="20"/>
          <w:szCs w:val="20"/>
          <w:color w:val="auto"/>
        </w:rPr>
      </w:pPr>
    </w:p>
    <w:p>
      <w:pPr>
        <w:jc w:val="both"/>
        <w:ind w:firstLine="627"/>
        <w:spacing w:after="0" w:line="268" w:lineRule="auto"/>
        <w:rPr>
          <w:sz w:val="20"/>
          <w:szCs w:val="20"/>
          <w:color w:val="auto"/>
        </w:rPr>
      </w:pPr>
      <w:r>
        <w:rPr>
          <w:rFonts w:ascii="Arial" w:cs="Arial" w:eastAsia="Arial" w:hAnsi="Arial"/>
          <w:sz w:val="17"/>
          <w:szCs w:val="17"/>
          <w:color w:val="auto"/>
        </w:rPr>
        <w:t>Other operating expenses include our corporate expenses as a holding company and operating expenses of Cosi. These corporate expenses include legal and auditing fees, executive employment costs, and other costs directly associated with being a public company. Cosi operating expenses primarily include commissions paid to brokers, employment costs, and consulting costs.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 Lines</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product lines include the following:</w:t>
      </w:r>
    </w:p>
    <w:p>
      <w:pPr>
        <w:spacing w:after="0" w:line="157"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b w:val="1"/>
          <w:bCs w:val="1"/>
          <w:i w:val="1"/>
          <w:iCs w:val="1"/>
          <w:color w:val="auto"/>
        </w:rPr>
        <w:t xml:space="preserve">Personal lines: </w:t>
      </w:r>
      <w:r>
        <w:rPr>
          <w:rFonts w:ascii="Arial" w:cs="Arial" w:eastAsia="Arial" w:hAnsi="Arial"/>
          <w:sz w:val="17"/>
          <w:szCs w:val="17"/>
          <w:color w:val="auto"/>
        </w:rPr>
        <w:t>Our largest line of business is personal lines, consisting of homeowners, dwelling fire, cooperative/condominium, renters, and personal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umbrella policies.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36" w:name="page37"/>
    <w:bookmarkEnd w:id="36"/>
    <w:p>
      <w:pPr>
        <w:jc w:val="both"/>
        <w:ind w:firstLine="670"/>
        <w:spacing w:after="0" w:line="264" w:lineRule="auto"/>
        <w:rPr>
          <w:sz w:val="20"/>
          <w:szCs w:val="20"/>
          <w:color w:val="auto"/>
        </w:rPr>
      </w:pPr>
      <w:r>
        <w:rPr>
          <w:rFonts w:ascii="Arial" w:cs="Arial" w:eastAsia="Arial" w:hAnsi="Arial"/>
          <w:sz w:val="17"/>
          <w:szCs w:val="17"/>
          <w:b w:val="1"/>
          <w:bCs w:val="1"/>
          <w:i w:val="1"/>
          <w:iCs w:val="1"/>
          <w:color w:val="auto"/>
        </w:rPr>
        <w:t xml:space="preserve">Commercial liability: </w:t>
      </w:r>
      <w:r>
        <w:rPr>
          <w:rFonts w:ascii="Arial" w:cs="Arial" w:eastAsia="Arial" w:hAnsi="Arial"/>
          <w:sz w:val="17"/>
          <w:szCs w:val="17"/>
          <w:color w:val="auto"/>
        </w:rPr>
        <w:t>Through July 2019, we offered businessowners policies, which consist primarily of small business retail, service, and office risks,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limited property exposures. We also wrote artisan’s liability policies for small independent contractors with smaller sized workforces. In addition, we wrote special multi-peril policies for larger and more specialized businessowners risks, including those with limited residential exposures. Further, we offered commercial umbrella policies written above our supporting commercial lines policies.</w:t>
      </w:r>
    </w:p>
    <w:p>
      <w:pPr>
        <w:spacing w:after="0" w:line="120" w:lineRule="exact"/>
        <w:rPr>
          <w:sz w:val="20"/>
          <w:szCs w:val="20"/>
          <w:color w:val="auto"/>
        </w:rPr>
      </w:pPr>
    </w:p>
    <w:p>
      <w:pPr>
        <w:jc w:val="both"/>
        <w:ind w:firstLine="627"/>
        <w:spacing w:after="0" w:line="262" w:lineRule="auto"/>
        <w:rPr>
          <w:sz w:val="20"/>
          <w:szCs w:val="20"/>
          <w:color w:val="auto"/>
        </w:rPr>
      </w:pPr>
      <w:r>
        <w:rPr>
          <w:rFonts w:ascii="Arial" w:cs="Arial" w:eastAsia="Arial" w:hAnsi="Arial"/>
          <w:sz w:val="17"/>
          <w:szCs w:val="17"/>
          <w:color w:val="auto"/>
        </w:rPr>
        <w:t>In May 2019, due to the poor performance of this line we placed a moratorium on new commercial lines and new commercial umbrella submissions while we further reviewed this business. In July 2019, due to the continuing poor performance of these lines, we made the decision to no longer underwrite commercial lines or commercial umbrella risks. In force policies for these lines are being non-renewed at the end of their current annual terms. For the three months ended March 31, 2020, these policies represent approximately 6.3% of net premiums earned and as of March 31, 2020, 44.1% of loss and LAE reserves net of reinsurance recoverables. See discussion below under “Additional Financial Information”.</w:t>
      </w:r>
    </w:p>
    <w:p>
      <w:pPr>
        <w:spacing w:after="0" w:line="122"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b w:val="1"/>
          <w:bCs w:val="1"/>
          <w:i w:val="1"/>
          <w:iCs w:val="1"/>
          <w:color w:val="auto"/>
        </w:rPr>
        <w:t xml:space="preserve">Livery physical damage: </w:t>
      </w:r>
      <w:r>
        <w:rPr>
          <w:rFonts w:ascii="Arial" w:cs="Arial" w:eastAsia="Arial" w:hAnsi="Arial"/>
          <w:sz w:val="17"/>
          <w:szCs w:val="17"/>
          <w:color w:val="auto"/>
        </w:rPr>
        <w:t>We write for-hire vehicle physical damage only policies for livery and car service vehicles and taxicabs. These policies insure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only the physical damage portion of insurance for such vehicles, with no liability coverage included.</w:t>
      </w:r>
    </w:p>
    <w:p>
      <w:pPr>
        <w:spacing w:after="0" w:line="104"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 xml:space="preserve">Other: </w:t>
      </w:r>
      <w:r>
        <w:rPr>
          <w:rFonts w:ascii="Arial" w:cs="Arial" w:eastAsia="Arial" w:hAnsi="Arial"/>
          <w:sz w:val="17"/>
          <w:szCs w:val="17"/>
          <w:color w:val="auto"/>
        </w:rPr>
        <w:t>We write canine legal liability policies and have a small participation in mandatory state joint underwriting associations.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Measures</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utilize the following key measures in analyzing the results of our insurance underwriting business:</w:t>
      </w:r>
    </w:p>
    <w:p>
      <w:pPr>
        <w:spacing w:after="0" w:line="157"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b w:val="1"/>
          <w:bCs w:val="1"/>
          <w:i w:val="1"/>
          <w:iCs w:val="1"/>
          <w:color w:val="auto"/>
        </w:rPr>
        <w:t xml:space="preserve">Net loss ratio: </w:t>
      </w:r>
      <w:r>
        <w:rPr>
          <w:rFonts w:ascii="Arial" w:cs="Arial" w:eastAsia="Arial" w:hAnsi="Arial"/>
          <w:sz w:val="17"/>
          <w:szCs w:val="17"/>
          <w:color w:val="auto"/>
        </w:rPr>
        <w:t>The net loss ratio is a measure of the underwriting profitability of an insurance company’s business. Expressed as a percentage, this is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ratio of net losses and LAE incurred to net premiums earned.</w:t>
      </w:r>
    </w:p>
    <w:p>
      <w:pPr>
        <w:spacing w:after="0" w:line="104" w:lineRule="exact"/>
        <w:rPr>
          <w:sz w:val="20"/>
          <w:szCs w:val="20"/>
          <w:color w:val="auto"/>
        </w:rPr>
      </w:pPr>
    </w:p>
    <w:p>
      <w:pPr>
        <w:jc w:val="both"/>
        <w:ind w:firstLine="627"/>
        <w:spacing w:after="0" w:line="268" w:lineRule="auto"/>
        <w:rPr>
          <w:sz w:val="20"/>
          <w:szCs w:val="20"/>
          <w:color w:val="auto"/>
        </w:rPr>
      </w:pPr>
      <w:r>
        <w:rPr>
          <w:rFonts w:ascii="Arial" w:cs="Arial" w:eastAsia="Arial" w:hAnsi="Arial"/>
          <w:sz w:val="17"/>
          <w:szCs w:val="17"/>
          <w:b w:val="1"/>
          <w:bCs w:val="1"/>
          <w:i w:val="1"/>
          <w:iCs w:val="1"/>
          <w:color w:val="auto"/>
        </w:rPr>
        <w:t xml:space="preserve">Net underwriting expense ratio: </w:t>
      </w:r>
      <w:r>
        <w:rPr>
          <w:rFonts w:ascii="Arial" w:cs="Arial" w:eastAsia="Arial" w:hAnsi="Arial"/>
          <w:sz w:val="17"/>
          <w:szCs w:val="17"/>
          <w:color w:val="auto"/>
        </w:rPr>
        <w:t>The net underwriting expense ratio is a measure of an insurance company’s operational efficiency in administering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Expressed as a percentage, this is the ratio of the sum of acquisition costs (the most significant being commissions paid to our producers) and other underwriting expenses less ceding commission revenue less other income to net premiums earned.</w:t>
      </w:r>
    </w:p>
    <w:p>
      <w:pPr>
        <w:spacing w:after="0" w:line="116" w:lineRule="exact"/>
        <w:rPr>
          <w:sz w:val="20"/>
          <w:szCs w:val="20"/>
          <w:color w:val="auto"/>
        </w:rPr>
      </w:pPr>
    </w:p>
    <w:p>
      <w:pPr>
        <w:jc w:val="both"/>
        <w:ind w:firstLine="627"/>
        <w:spacing w:after="0" w:line="268" w:lineRule="auto"/>
        <w:rPr>
          <w:sz w:val="20"/>
          <w:szCs w:val="20"/>
          <w:color w:val="auto"/>
        </w:rPr>
      </w:pPr>
      <w:r>
        <w:rPr>
          <w:rFonts w:ascii="Arial" w:cs="Arial" w:eastAsia="Arial" w:hAnsi="Arial"/>
          <w:sz w:val="17"/>
          <w:szCs w:val="17"/>
          <w:b w:val="1"/>
          <w:bCs w:val="1"/>
          <w:i w:val="1"/>
          <w:iCs w:val="1"/>
          <w:color w:val="auto"/>
        </w:rPr>
        <w:t xml:space="preserve">Net combined ratio: </w:t>
      </w:r>
      <w:r>
        <w:rPr>
          <w:rFonts w:ascii="Arial" w:cs="Arial" w:eastAsia="Arial" w:hAnsi="Arial"/>
          <w:sz w:val="17"/>
          <w:szCs w:val="17"/>
          <w:color w:val="auto"/>
        </w:rPr>
        <w:t>The net combined ratio is a measure of an insurance company’s overall underwriting profit. This is the sum of the net loss and net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underwriting expense ratios. If the net combined ratio is at or above 100 percent, an insurance company cannot be profitable without investment income, and may not be profitable if investment income is insufficient.</w:t>
      </w:r>
    </w:p>
    <w:p>
      <w:pPr>
        <w:spacing w:after="0" w:line="116"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b w:val="1"/>
          <w:bCs w:val="1"/>
          <w:i w:val="1"/>
          <w:iCs w:val="1"/>
          <w:color w:val="auto"/>
        </w:rPr>
        <w:t xml:space="preserve">Underwriting income: </w:t>
      </w:r>
      <w:r>
        <w:rPr>
          <w:rFonts w:ascii="Arial" w:cs="Arial" w:eastAsia="Arial" w:hAnsi="Arial"/>
          <w:sz w:val="17"/>
          <w:szCs w:val="17"/>
          <w:color w:val="auto"/>
        </w:rPr>
        <w:t>Underwriting income is net pre-tax income attributable to our insurance underwriting business before investment activity. 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excludes net investment income, net realized gains from investments, and depreciation and amortization (net premiums earned less expenses included in combined ratio). Underwriting income is a measure of an insurance company’s overall operating profitability before items such as investment income, depreciation and amortization, interest expense and income taxes.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color w:val="auto"/>
        </w:rPr>
        <w:t>Distribution Channels</w:t>
      </w:r>
    </w:p>
    <w:p>
      <w:pPr>
        <w:spacing w:after="0" w:line="161" w:lineRule="exact"/>
        <w:rPr>
          <w:sz w:val="20"/>
          <w:szCs w:val="20"/>
          <w:color w:val="auto"/>
        </w:rPr>
      </w:pPr>
    </w:p>
    <w:p>
      <w:pPr>
        <w:jc w:val="both"/>
        <w:ind w:right="20" w:firstLine="627"/>
        <w:spacing w:after="0" w:line="262" w:lineRule="auto"/>
        <w:rPr>
          <w:sz w:val="20"/>
          <w:szCs w:val="20"/>
          <w:color w:val="auto"/>
        </w:rPr>
      </w:pPr>
      <w:r>
        <w:rPr>
          <w:rFonts w:ascii="Arial" w:cs="Arial" w:eastAsia="Arial" w:hAnsi="Arial"/>
          <w:sz w:val="17"/>
          <w:szCs w:val="17"/>
          <w:color w:val="auto"/>
        </w:rPr>
        <w:t>During 2019, we initiated an alternative distribution program through Cosi (“Alternative Distribution”). The goal of this program is to enhance our personal lines distribution channel to include nationally recognized name-brand carriers along with nationwide call center and digital insurance agencies. While still in early stages of development, the impact of this initiative can be measured by the amount of new premiums written compared to total premiums written, which includes renewals from our independent agency network. The table below shows premiums written by distribution channel for our homeowners and dwelling fire components of personal lines.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80" w:type="dxa"/>
            <w:vAlign w:val="bottom"/>
            <w:vMerge w:val="restart"/>
          </w:tcPr>
          <w:p>
            <w:pPr>
              <w:ind w:left="40"/>
              <w:spacing w:after="0"/>
              <w:rPr>
                <w:sz w:val="20"/>
                <w:szCs w:val="20"/>
                <w:color w:val="auto"/>
              </w:rPr>
            </w:pPr>
            <w:r>
              <w:rPr>
                <w:rFonts w:ascii="Arial" w:cs="Arial" w:eastAsia="Arial" w:hAnsi="Arial"/>
                <w:sz w:val="17"/>
                <w:szCs w:val="17"/>
                <w:color w:val="auto"/>
              </w:rPr>
              <w:t>($ in thousands)</w:t>
            </w:r>
          </w:p>
        </w:tc>
        <w:tc>
          <w:tcPr>
            <w:tcW w:w="200" w:type="dxa"/>
            <w:vAlign w:val="bottom"/>
          </w:tcPr>
          <w:p>
            <w:pPr>
              <w:spacing w:after="0"/>
              <w:rPr>
                <w:sz w:val="16"/>
                <w:szCs w:val="16"/>
                <w:color w:val="auto"/>
              </w:rPr>
            </w:pPr>
          </w:p>
        </w:tc>
        <w:tc>
          <w:tcPr>
            <w:tcW w:w="250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23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99"/>
        </w:trPr>
        <w:tc>
          <w:tcPr>
            <w:tcW w:w="5980" w:type="dxa"/>
            <w:vAlign w:val="bottom"/>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3"/>
          </w:tcPr>
          <w:p>
            <w:pPr>
              <w:jc w:val="right"/>
              <w:ind w:right="659"/>
              <w:spacing w:after="0"/>
              <w:rPr>
                <w:sz w:val="20"/>
                <w:szCs w:val="20"/>
                <w:color w:val="auto"/>
              </w:rPr>
            </w:pPr>
            <w:r>
              <w:rPr>
                <w:rFonts w:ascii="Arial" w:cs="Arial" w:eastAsia="Arial" w:hAnsi="Arial"/>
                <w:sz w:val="14"/>
                <w:szCs w:val="14"/>
                <w:b w:val="1"/>
                <w:bCs w:val="1"/>
                <w:color w:val="auto"/>
              </w:rPr>
              <w:t>March 31, 2020</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gridSpan w:val="3"/>
          </w:tcPr>
          <w:p>
            <w:pPr>
              <w:jc w:val="center"/>
              <w:ind w:right="128"/>
              <w:spacing w:after="0"/>
              <w:rPr>
                <w:sz w:val="20"/>
                <w:szCs w:val="20"/>
                <w:color w:val="auto"/>
              </w:rPr>
            </w:pPr>
            <w:r>
              <w:rPr>
                <w:rFonts w:ascii="Arial" w:cs="Arial" w:eastAsia="Arial" w:hAnsi="Arial"/>
                <w:sz w:val="14"/>
                <w:szCs w:val="14"/>
                <w:b w:val="1"/>
                <w:bCs w:val="1"/>
                <w:color w:val="auto"/>
                <w:w w:val="96"/>
              </w:rPr>
              <w:t>March 31, 2019</w:t>
            </w:r>
          </w:p>
        </w:tc>
        <w:tc>
          <w:tcPr>
            <w:tcW w:w="1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24"/>
        </w:trPr>
        <w:tc>
          <w:tcPr>
            <w:tcW w:w="5980" w:type="dxa"/>
            <w:vAlign w:val="bottom"/>
          </w:tcPr>
          <w:p>
            <w:pPr>
              <w:ind w:left="40"/>
              <w:spacing w:after="0"/>
              <w:rPr>
                <w:sz w:val="20"/>
                <w:szCs w:val="20"/>
                <w:color w:val="auto"/>
              </w:rPr>
            </w:pPr>
            <w:r>
              <w:rPr>
                <w:rFonts w:ascii="Arial" w:cs="Arial" w:eastAsia="Arial" w:hAnsi="Arial"/>
                <w:sz w:val="17"/>
                <w:szCs w:val="17"/>
                <w:color w:val="auto"/>
              </w:rPr>
              <w:t>Direct Written Pemiums</w:t>
            </w:r>
          </w:p>
        </w:tc>
        <w:tc>
          <w:tcPr>
            <w:tcW w:w="200" w:type="dxa"/>
            <w:vAlign w:val="bottom"/>
          </w:tcPr>
          <w:p>
            <w:pPr>
              <w:spacing w:after="0"/>
              <w:rPr>
                <w:sz w:val="24"/>
                <w:szCs w:val="24"/>
                <w:color w:val="auto"/>
              </w:rPr>
            </w:pPr>
          </w:p>
        </w:tc>
        <w:tc>
          <w:tcPr>
            <w:tcW w:w="900" w:type="dxa"/>
            <w:vAlign w:val="bottom"/>
          </w:tcPr>
          <w:p>
            <w:pPr>
              <w:jc w:val="right"/>
              <w:ind w:right="201"/>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24"/>
                <w:szCs w:val="24"/>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Percent</w:t>
            </w:r>
          </w:p>
        </w:tc>
        <w:tc>
          <w:tcPr>
            <w:tcW w:w="200" w:type="dxa"/>
            <w:vAlign w:val="bottom"/>
          </w:tcPr>
          <w:p>
            <w:pPr>
              <w:spacing w:after="0"/>
              <w:rPr>
                <w:sz w:val="24"/>
                <w:szCs w:val="24"/>
                <w:color w:val="auto"/>
              </w:rPr>
            </w:pPr>
          </w:p>
        </w:tc>
        <w:tc>
          <w:tcPr>
            <w:tcW w:w="880" w:type="dxa"/>
            <w:vAlign w:val="bottom"/>
          </w:tcPr>
          <w:p>
            <w:pPr>
              <w:jc w:val="right"/>
              <w:ind w:right="201"/>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24"/>
                <w:szCs w:val="24"/>
                <w:color w:val="auto"/>
              </w:rPr>
            </w:pPr>
          </w:p>
        </w:tc>
        <w:tc>
          <w:tcPr>
            <w:tcW w:w="1240" w:type="dxa"/>
            <w:vAlign w:val="bottom"/>
            <w:gridSpan w:val="3"/>
          </w:tcPr>
          <w:p>
            <w:pPr>
              <w:ind w:left="3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35"/>
        </w:trPr>
        <w:tc>
          <w:tcPr>
            <w:tcW w:w="59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Core Independent</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27,145</w:t>
            </w:r>
          </w:p>
        </w:tc>
        <w:tc>
          <w:tcPr>
            <w:tcW w:w="16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79.0%</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26,535</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ind w:left="40"/>
              <w:spacing w:after="0"/>
              <w:rPr>
                <w:sz w:val="20"/>
                <w:szCs w:val="20"/>
                <w:color w:val="auto"/>
              </w:rPr>
            </w:pPr>
            <w:r>
              <w:rPr>
                <w:rFonts w:ascii="Arial" w:cs="Arial" w:eastAsia="Arial" w:hAnsi="Arial"/>
                <w:sz w:val="17"/>
                <w:szCs w:val="17"/>
                <w:color w:val="auto"/>
              </w:rPr>
              <w:t>Expansion Independent (1)</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5,242</w:t>
            </w:r>
          </w:p>
        </w:tc>
        <w:tc>
          <w:tcPr>
            <w:tcW w:w="1600" w:type="dxa"/>
            <w:vAlign w:val="bottom"/>
            <w:gridSpan w:val="3"/>
          </w:tcPr>
          <w:p>
            <w:pPr>
              <w:jc w:val="right"/>
              <w:ind w:right="120"/>
              <w:spacing w:after="0"/>
              <w:rPr>
                <w:sz w:val="20"/>
                <w:szCs w:val="20"/>
                <w:color w:val="auto"/>
              </w:rPr>
            </w:pPr>
            <w:r>
              <w:rPr>
                <w:rFonts w:ascii="Arial" w:cs="Arial" w:eastAsia="Arial" w:hAnsi="Arial"/>
                <w:sz w:val="17"/>
                <w:szCs w:val="17"/>
                <w:color w:val="auto"/>
              </w:rPr>
              <w:t>15.3%</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3,221</w:t>
            </w:r>
          </w:p>
        </w:tc>
        <w:tc>
          <w:tcPr>
            <w:tcW w:w="1480" w:type="dxa"/>
            <w:vAlign w:val="bottom"/>
            <w:gridSpan w:val="3"/>
          </w:tcPr>
          <w:p>
            <w:pPr>
              <w:jc w:val="right"/>
              <w:spacing w:after="0"/>
              <w:rPr>
                <w:sz w:val="20"/>
                <w:szCs w:val="20"/>
                <w:color w:val="auto"/>
              </w:rPr>
            </w:pPr>
            <w:r>
              <w:rPr>
                <w:rFonts w:ascii="Arial" w:cs="Arial" w:eastAsia="Arial" w:hAnsi="Arial"/>
                <w:sz w:val="17"/>
                <w:szCs w:val="17"/>
                <w:color w:val="auto"/>
              </w:rPr>
              <w:t>10.7%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40"/>
              <w:spacing w:after="0"/>
              <w:rPr>
                <w:sz w:val="20"/>
                <w:szCs w:val="20"/>
                <w:color w:val="auto"/>
              </w:rPr>
            </w:pPr>
            <w:r>
              <w:rPr>
                <w:rFonts w:ascii="Arial" w:cs="Arial" w:eastAsia="Arial" w:hAnsi="Arial"/>
                <w:sz w:val="17"/>
                <w:szCs w:val="17"/>
                <w:color w:val="auto"/>
              </w:rPr>
              <w:t>Alternative Distribution through Cosi</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1,979</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5.8%</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ind w:left="40"/>
              <w:spacing w:after="0"/>
              <w:rPr>
                <w:sz w:val="20"/>
                <w:szCs w:val="20"/>
                <w:color w:val="auto"/>
              </w:rPr>
            </w:pPr>
            <w:r>
              <w:rPr>
                <w:rFonts w:ascii="Arial" w:cs="Arial" w:eastAsia="Arial" w:hAnsi="Arial"/>
                <w:sz w:val="17"/>
                <w:szCs w:val="17"/>
                <w:color w:val="auto"/>
              </w:rPr>
              <w:t>Total</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34,366</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7"/>
                <w:szCs w:val="17"/>
                <w:color w:val="auto"/>
              </w:rPr>
              <w:t>100.0%</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30,036</w:t>
            </w:r>
          </w:p>
        </w:tc>
        <w:tc>
          <w:tcPr>
            <w:tcW w:w="1480" w:type="dxa"/>
            <w:vAlign w:val="bottom"/>
            <w:gridSpan w:val="3"/>
          </w:tcPr>
          <w:p>
            <w:pPr>
              <w:jc w:val="right"/>
              <w:spacing w:after="0"/>
              <w:rPr>
                <w:sz w:val="20"/>
                <w:szCs w:val="20"/>
                <w:color w:val="auto"/>
              </w:rPr>
            </w:pPr>
            <w:r>
              <w:rPr>
                <w:rFonts w:ascii="Arial" w:cs="Arial" w:eastAsia="Arial" w:hAnsi="Arial"/>
                <w:sz w:val="17"/>
                <w:szCs w:val="17"/>
                <w:color w:val="auto"/>
              </w:rPr>
              <w:t>100.0%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(1) Outside of New York</w:t>
      </w:r>
    </w:p>
    <w:p>
      <w:pPr>
        <w:spacing w:after="0" w:line="20" w:lineRule="exact"/>
        <w:rPr>
          <w:sz w:val="20"/>
          <w:szCs w:val="20"/>
          <w:color w:val="auto"/>
        </w:rPr>
      </w:pPr>
    </w:p>
    <w:p>
      <w:pPr>
        <w:jc w:val="center"/>
        <w:ind w:left="620"/>
        <w:spacing w:after="0"/>
        <w:rPr>
          <w:sz w:val="20"/>
          <w:szCs w:val="20"/>
          <w:color w:val="auto"/>
        </w:rPr>
      </w:pPr>
      <w:r>
        <w:rPr>
          <w:rFonts w:ascii="Arial" w:cs="Arial" w:eastAsia="Arial" w:hAnsi="Arial"/>
          <w:sz w:val="17"/>
          <w:szCs w:val="17"/>
          <w:i w:val="1"/>
          <w:iCs w:val="1"/>
          <w:color w:val="auto"/>
        </w:rPr>
        <w:t>(Percent components may not sum to totals due to rounding)</w:t>
      </w:r>
    </w:p>
    <w:p>
      <w:pPr>
        <w:spacing w:after="0" w:line="243" w:lineRule="exact"/>
        <w:rPr>
          <w:sz w:val="20"/>
          <w:szCs w:val="20"/>
          <w:color w:val="auto"/>
        </w:rPr>
      </w:pPr>
    </w:p>
    <w:p>
      <w:pPr>
        <w:jc w:val="both"/>
        <w:ind w:right="20" w:firstLine="627"/>
        <w:spacing w:after="0" w:line="281" w:lineRule="auto"/>
        <w:rPr>
          <w:sz w:val="20"/>
          <w:szCs w:val="20"/>
          <w:color w:val="auto"/>
        </w:rPr>
      </w:pPr>
      <w:r>
        <w:rPr>
          <w:rFonts w:ascii="Arial" w:cs="Arial" w:eastAsia="Arial" w:hAnsi="Arial"/>
          <w:sz w:val="17"/>
          <w:szCs w:val="17"/>
          <w:color w:val="auto"/>
        </w:rPr>
        <w:t>For the three months ended March 31, 2020 and 2019, Alternative Distribution made up 5.8% and 0.9% of direct written premiums for our homeowners and dwelling fire components of personal lines.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61" w:lineRule="exact"/>
        <w:rPr>
          <w:sz w:val="20"/>
          <w:szCs w:val="20"/>
          <w:color w:val="auto"/>
        </w:rPr>
      </w:pPr>
    </w:p>
    <w:p>
      <w:pPr>
        <w:jc w:val="both"/>
        <w:ind w:right="20" w:firstLine="627"/>
        <w:spacing w:after="0" w:line="259" w:lineRule="auto"/>
        <w:rPr>
          <w:sz w:val="20"/>
          <w:szCs w:val="20"/>
          <w:color w:val="auto"/>
        </w:rPr>
      </w:pPr>
      <w:r>
        <w:rPr>
          <w:rFonts w:ascii="Arial" w:cs="Arial" w:eastAsia="Arial" w:hAnsi="Arial"/>
          <w:sz w:val="17"/>
          <w:szCs w:val="17"/>
          <w:color w:val="auto"/>
        </w:rPr>
        <w:t>Our condensed consolidated financial statements include the accounts of Kingstone Companies, Inc. and all majority-owned and controlled subsidiaries. The preparation of financial statements in conformity with GAAP requires our management to make estimates and assumptions in certain circumstances that affect amounts reported in our condensed consolidated financial statements and related notes. In preparing these condensed consolidated financial statements, our management has utilized information including our past history, industry standards, the current economic environment, and other factors, in forming its estimates and judgments for certain amounts included in the condensed consolidated financial statements, giving due consideration to materiality. It is possible that the ultimate outcome as anticipated by our management in formulating its estimates in these financial statements may not materialize. Application of the critical accounting policies involves the exercise of judgment and use of assumptions as to future uncertainties and, as a result, actual results could differ from these estimates. In addition, other companies may utilize different estimates, which may impact the comparability of our results of operations to those of similar companies.</w:t>
      </w:r>
    </w:p>
    <w:p>
      <w:pPr>
        <w:spacing w:after="0" w:line="127" w:lineRule="exact"/>
        <w:rPr>
          <w:sz w:val="20"/>
          <w:szCs w:val="20"/>
          <w:color w:val="auto"/>
        </w:rPr>
      </w:pPr>
    </w:p>
    <w:p>
      <w:pPr>
        <w:jc w:val="both"/>
        <w:ind w:right="20" w:firstLine="627"/>
        <w:spacing w:after="0" w:line="286" w:lineRule="auto"/>
        <w:rPr>
          <w:sz w:val="20"/>
          <w:szCs w:val="20"/>
          <w:color w:val="auto"/>
        </w:rPr>
      </w:pPr>
      <w:r>
        <w:rPr>
          <w:rFonts w:ascii="Arial" w:cs="Arial" w:eastAsia="Arial" w:hAnsi="Arial"/>
          <w:sz w:val="16"/>
          <w:szCs w:val="16"/>
          <w:color w:val="auto"/>
        </w:rPr>
        <w:t>We believe that the most critical accounting policies relate to the reporting of reserves for loss and LAE, including losses that have occurred but have not been reported prior to the reporting date, amounts recoverable from third party reinsurers, deferred ceding commission revenue, deferred policy acquisition costs, deferred income taxes, the impairment of investment securities, intangible assets and the valuation of stock-based compensation. See Note 2 to the condensed consolidated financial statements - “Accounting Policies” for information related to updated accounting policies.</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60"/>
          </w:cols>
          <w:pgMar w:left="320" w:top="545" w:right="31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color w:val="auto"/>
        </w:rPr>
        <w:t>Consolidated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Three Months Ended March 31, 2020 Compared to Three Months Ended March 31, 2019</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summarizes the changes in the results of our operations (in thousands) for the periods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7"/>
                <w:szCs w:val="17"/>
                <w:b w:val="1"/>
                <w:bCs w:val="1"/>
                <w:color w:val="auto"/>
                <w:w w:val="92"/>
              </w:rPr>
              <w:t>Three months ended March 31,</w:t>
            </w:r>
          </w:p>
        </w:tc>
        <w:tc>
          <w:tcPr>
            <w:tcW w:w="1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r>
              <w:rPr>
                <w:rFonts w:ascii="Arial" w:cs="Arial" w:eastAsia="Arial" w:hAnsi="Arial"/>
                <w:sz w:val="17"/>
                <w:szCs w:val="17"/>
                <w:b w:val="1"/>
                <w:bCs w:val="1"/>
                <w:color w:val="auto"/>
              </w:rPr>
              <w:t>($ in thousands)</w:t>
            </w:r>
          </w:p>
        </w:tc>
        <w:tc>
          <w:tcPr>
            <w:tcW w:w="240" w:type="dxa"/>
            <w:vAlign w:val="bottom"/>
          </w:tcPr>
          <w:p>
            <w:pPr>
              <w:spacing w:after="0"/>
              <w:rPr>
                <w:sz w:val="20"/>
                <w:szCs w:val="20"/>
                <w:color w:val="auto"/>
              </w:rPr>
            </w:pPr>
          </w:p>
        </w:tc>
        <w:tc>
          <w:tcPr>
            <w:tcW w:w="860" w:type="dxa"/>
            <w:vAlign w:val="bottom"/>
          </w:tcPr>
          <w:p>
            <w:pPr>
              <w:jc w:val="right"/>
              <w:ind w:right="295"/>
              <w:spacing w:after="0"/>
              <w:rPr>
                <w:sz w:val="20"/>
                <w:szCs w:val="20"/>
                <w:color w:val="auto"/>
              </w:rPr>
            </w:pPr>
            <w:r>
              <w:rPr>
                <w:rFonts w:ascii="Arial" w:cs="Arial" w:eastAsia="Arial" w:hAnsi="Arial"/>
                <w:sz w:val="17"/>
                <w:szCs w:val="17"/>
                <w:b w:val="1"/>
                <w:bCs w:val="1"/>
                <w:color w:val="auto"/>
              </w:rPr>
              <w:t>2020</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95"/>
              <w:spacing w:after="0"/>
              <w:rPr>
                <w:sz w:val="20"/>
                <w:szCs w:val="20"/>
                <w:color w:val="auto"/>
              </w:rPr>
            </w:pPr>
            <w:r>
              <w:rPr>
                <w:rFonts w:ascii="Arial" w:cs="Arial" w:eastAsia="Arial" w:hAnsi="Arial"/>
                <w:sz w:val="17"/>
                <w:szCs w:val="17"/>
                <w:b w:val="1"/>
                <w:bCs w:val="1"/>
                <w:color w:val="auto"/>
              </w:rPr>
              <w:t>2019</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7"/>
                <w:szCs w:val="17"/>
                <w:b w:val="1"/>
                <w:bCs w:val="1"/>
                <w:color w:val="auto"/>
                <w:w w:val="99"/>
              </w:rPr>
              <w:t>Change</w:t>
            </w:r>
          </w:p>
        </w:tc>
        <w:tc>
          <w:tcPr>
            <w:tcW w:w="1280" w:type="dxa"/>
            <w:vAlign w:val="bottom"/>
            <w:gridSpan w:val="4"/>
          </w:tcPr>
          <w:p>
            <w:pPr>
              <w:ind w:left="300"/>
              <w:spacing w:after="0"/>
              <w:rPr>
                <w:sz w:val="20"/>
                <w:szCs w:val="20"/>
                <w:color w:val="auto"/>
              </w:rPr>
            </w:pPr>
            <w:r>
              <w:rPr>
                <w:rFonts w:ascii="Arial" w:cs="Arial" w:eastAsia="Arial" w:hAnsi="Arial"/>
                <w:sz w:val="17"/>
                <w:szCs w:val="17"/>
                <w:b w:val="1"/>
                <w:bCs w:val="1"/>
                <w:color w:val="auto"/>
              </w:rPr>
              <w:t>Percent</w:t>
            </w:r>
          </w:p>
        </w:tc>
        <w:tc>
          <w:tcPr>
            <w:tcW w:w="0" w:type="dxa"/>
            <w:vAlign w:val="bottom"/>
          </w:tcPr>
          <w:p>
            <w:pPr>
              <w:spacing w:after="0"/>
              <w:rPr>
                <w:sz w:val="1"/>
                <w:szCs w:val="1"/>
                <w:color w:val="auto"/>
              </w:rPr>
            </w:pPr>
          </w:p>
        </w:tc>
      </w:tr>
      <w:tr>
        <w:trPr>
          <w:trHeight w:val="233"/>
        </w:trPr>
        <w:tc>
          <w:tcPr>
            <w:tcW w:w="5980" w:type="dxa"/>
            <w:vAlign w:val="bottom"/>
          </w:tcPr>
          <w:p>
            <w:pPr>
              <w:ind w:left="40"/>
              <w:spacing w:after="0"/>
              <w:rPr>
                <w:sz w:val="20"/>
                <w:szCs w:val="20"/>
                <w:color w:val="auto"/>
              </w:rPr>
            </w:pPr>
            <w:r>
              <w:rPr>
                <w:rFonts w:ascii="Arial" w:cs="Arial" w:eastAsia="Arial" w:hAnsi="Arial"/>
                <w:sz w:val="17"/>
                <w:szCs w:val="17"/>
                <w:b w:val="1"/>
                <w:bCs w:val="1"/>
                <w:color w:val="auto"/>
              </w:rPr>
              <w:t>Revenue</w:t>
            </w:r>
            <w:r>
              <w:rPr>
                <w:rFonts w:ascii="Arial" w:cs="Arial" w:eastAsia="Arial" w:hAnsi="Arial"/>
                <w:sz w:val="17"/>
                <w:szCs w:val="17"/>
                <w:color w:val="auto"/>
              </w:rPr>
              <w:t>s</w:t>
            </w: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98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Direct written premiums</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36,697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37,489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(792)</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tcPr>
          <w:p>
            <w:pPr>
              <w:ind w:left="40"/>
              <w:spacing w:after="0"/>
              <w:rPr>
                <w:sz w:val="20"/>
                <w:szCs w:val="20"/>
                <w:color w:val="auto"/>
              </w:rPr>
            </w:pPr>
            <w:r>
              <w:rPr>
                <w:rFonts w:ascii="Arial" w:cs="Arial" w:eastAsia="Arial" w:hAnsi="Arial"/>
                <w:sz w:val="17"/>
                <w:szCs w:val="17"/>
                <w:color w:val="auto"/>
              </w:rPr>
              <w:t>Assumed written premiums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n/a%</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36,697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37,489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(792)</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tcPr>
          <w:p>
            <w:pPr>
              <w:ind w:left="40"/>
              <w:spacing w:after="0"/>
              <w:rPr>
                <w:sz w:val="20"/>
                <w:szCs w:val="20"/>
                <w:color w:val="auto"/>
              </w:rPr>
            </w:pPr>
            <w:r>
              <w:rPr>
                <w:rFonts w:ascii="Arial" w:cs="Arial" w:eastAsia="Arial" w:hAnsi="Arial"/>
                <w:sz w:val="17"/>
                <w:szCs w:val="17"/>
                <w:color w:val="auto"/>
              </w:rPr>
              <w:t>Ceded written premiums</w:t>
            </w: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Ceded to quota share treaties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7,098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4,439</w:t>
            </w:r>
          </w:p>
        </w:tc>
        <w:tc>
          <w:tcPr>
            <w:tcW w:w="2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166.9%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ind w:left="200"/>
              <w:spacing w:after="0"/>
              <w:rPr>
                <w:sz w:val="20"/>
                <w:szCs w:val="20"/>
                <w:color w:val="auto"/>
              </w:rPr>
            </w:pPr>
            <w:r>
              <w:rPr>
                <w:rFonts w:ascii="Arial" w:cs="Arial" w:eastAsia="Arial" w:hAnsi="Arial"/>
                <w:sz w:val="17"/>
                <w:szCs w:val="17"/>
                <w:color w:val="auto"/>
              </w:rPr>
              <w:t>Ceded to excess of loss treaties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495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404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91</w:t>
            </w:r>
          </w:p>
        </w:tc>
        <w:tc>
          <w:tcPr>
            <w:tcW w:w="26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22.5%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tcBorders>
              <w:bottom w:val="single" w:sz="8" w:color="CCEEFF"/>
              <w:right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Ceded to catastrophe treaties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5,913</w:t>
            </w:r>
          </w:p>
        </w:tc>
        <w:tc>
          <w:tcPr>
            <w:tcW w:w="2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4,065</w:t>
            </w: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1,848</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45.5%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tcPr>
          <w:p>
            <w:pPr>
              <w:ind w:left="40"/>
              <w:spacing w:after="0"/>
              <w:rPr>
                <w:sz w:val="20"/>
                <w:szCs w:val="20"/>
                <w:color w:val="auto"/>
              </w:rPr>
            </w:pPr>
            <w:r>
              <w:rPr>
                <w:rFonts w:ascii="Arial" w:cs="Arial" w:eastAsia="Arial" w:hAnsi="Arial"/>
                <w:sz w:val="17"/>
                <w:szCs w:val="17"/>
                <w:color w:val="auto"/>
              </w:rPr>
              <w:t>Total ceded written premiums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13,506</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7,128</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6,378</w:t>
            </w:r>
          </w:p>
        </w:tc>
        <w:tc>
          <w:tcPr>
            <w:tcW w:w="26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89.5%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tcPr>
          <w:p>
            <w:pPr>
              <w:ind w:left="40"/>
              <w:spacing w:after="0"/>
              <w:rPr>
                <w:sz w:val="20"/>
                <w:szCs w:val="20"/>
                <w:color w:val="auto"/>
              </w:rPr>
            </w:pPr>
            <w:r>
              <w:rPr>
                <w:rFonts w:ascii="Arial" w:cs="Arial" w:eastAsia="Arial" w:hAnsi="Arial"/>
                <w:sz w:val="17"/>
                <w:szCs w:val="17"/>
                <w:color w:val="auto"/>
              </w:rPr>
              <w:t>Net written premiums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23,191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30,361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(7,170)</w:t>
            </w: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(23.6)%</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ind w:left="40"/>
              <w:spacing w:after="0"/>
              <w:rPr>
                <w:sz w:val="20"/>
                <w:szCs w:val="20"/>
                <w:color w:val="auto"/>
              </w:rPr>
            </w:pPr>
            <w:r>
              <w:rPr>
                <w:rFonts w:ascii="Arial" w:cs="Arial" w:eastAsia="Arial" w:hAnsi="Arial"/>
                <w:sz w:val="17"/>
                <w:szCs w:val="17"/>
                <w:color w:val="auto"/>
              </w:rPr>
              <w:t>Change in unearned premiums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Direct and assumed</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5,905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(628)</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6,533</w:t>
            </w:r>
          </w:p>
        </w:tc>
        <w:tc>
          <w:tcPr>
            <w:tcW w:w="2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(1,040.3)%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ind w:left="200"/>
              <w:spacing w:after="0"/>
              <w:rPr>
                <w:sz w:val="20"/>
                <w:szCs w:val="20"/>
                <w:color w:val="auto"/>
              </w:rPr>
            </w:pPr>
            <w:r>
              <w:rPr>
                <w:rFonts w:ascii="Arial" w:cs="Arial" w:eastAsia="Arial" w:hAnsi="Arial"/>
                <w:sz w:val="17"/>
                <w:szCs w:val="17"/>
                <w:color w:val="auto"/>
              </w:rPr>
              <w:t>Ceded to quota share treaties</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(2,154)</w:t>
            </w: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(137)</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(2,017)</w:t>
            </w: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1,472.3%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9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598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Change in net unearned premiums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(765)</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4,516</w:t>
            </w:r>
          </w:p>
        </w:tc>
        <w:tc>
          <w:tcPr>
            <w:tcW w:w="2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(590.3)%</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Premiums earned</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ind w:left="200"/>
              <w:spacing w:after="0"/>
              <w:rPr>
                <w:sz w:val="20"/>
                <w:szCs w:val="20"/>
                <w:color w:val="auto"/>
              </w:rPr>
            </w:pPr>
            <w:r>
              <w:rPr>
                <w:rFonts w:ascii="Arial" w:cs="Arial" w:eastAsia="Arial" w:hAnsi="Arial"/>
                <w:sz w:val="17"/>
                <w:szCs w:val="17"/>
                <w:color w:val="auto"/>
              </w:rPr>
              <w:t>Direct and assumed</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42,602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36,861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5,741</w:t>
            </w:r>
          </w:p>
        </w:tc>
        <w:tc>
          <w:tcPr>
            <w:tcW w:w="26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15.6%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Ceded to reinsurance treaties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(15,661)</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(7,265)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(8,396)</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115.6%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98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5980" w:type="dxa"/>
            <w:vAlign w:val="bottom"/>
          </w:tcPr>
          <w:p>
            <w:pPr>
              <w:ind w:left="40"/>
              <w:spacing w:after="0"/>
              <w:rPr>
                <w:sz w:val="20"/>
                <w:szCs w:val="20"/>
                <w:color w:val="auto"/>
              </w:rPr>
            </w:pPr>
            <w:r>
              <w:rPr>
                <w:rFonts w:ascii="Arial" w:cs="Arial" w:eastAsia="Arial" w:hAnsi="Arial"/>
                <w:sz w:val="17"/>
                <w:szCs w:val="17"/>
                <w:color w:val="auto"/>
              </w:rPr>
              <w:t>Net premiums earned</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26,941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29,596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(2,655)</w:t>
            </w: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(9.0)%</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Ceding commission revenue</w:t>
            </w: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ind w:left="200"/>
              <w:spacing w:after="0"/>
              <w:rPr>
                <w:sz w:val="20"/>
                <w:szCs w:val="20"/>
                <w:color w:val="auto"/>
              </w:rPr>
            </w:pPr>
            <w:r>
              <w:rPr>
                <w:rFonts w:ascii="Arial" w:cs="Arial" w:eastAsia="Arial" w:hAnsi="Arial"/>
                <w:sz w:val="17"/>
                <w:szCs w:val="17"/>
                <w:color w:val="auto"/>
              </w:rPr>
              <w:t>Excluding the effect of catastrophes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3,831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1,278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2,553</w:t>
            </w:r>
          </w:p>
        </w:tc>
        <w:tc>
          <w:tcPr>
            <w:tcW w:w="26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199.8%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tcBorders>
              <w:bottom w:val="single" w:sz="8" w:color="CCEEFF"/>
              <w:right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Effect of catastrophes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ind w:left="40"/>
              <w:spacing w:after="0"/>
              <w:rPr>
                <w:sz w:val="20"/>
                <w:szCs w:val="20"/>
                <w:color w:val="auto"/>
              </w:rPr>
            </w:pPr>
            <w:r>
              <w:rPr>
                <w:rFonts w:ascii="Arial" w:cs="Arial" w:eastAsia="Arial" w:hAnsi="Arial"/>
                <w:sz w:val="17"/>
                <w:szCs w:val="17"/>
                <w:color w:val="auto"/>
              </w:rPr>
              <w:t>Total ceding commission revenue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3,831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1,278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2,553</w:t>
            </w:r>
          </w:p>
        </w:tc>
        <w:tc>
          <w:tcPr>
            <w:tcW w:w="26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199.8%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investment income</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2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ind w:left="40"/>
              <w:spacing w:after="0"/>
              <w:rPr>
                <w:sz w:val="20"/>
                <w:szCs w:val="20"/>
                <w:color w:val="auto"/>
              </w:rPr>
            </w:pPr>
            <w:r>
              <w:rPr>
                <w:rFonts w:ascii="Arial" w:cs="Arial" w:eastAsia="Arial" w:hAnsi="Arial"/>
                <w:sz w:val="17"/>
                <w:szCs w:val="17"/>
                <w:color w:val="auto"/>
              </w:rPr>
              <w:t>Net (losses) gains on investments</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(6,444)</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2,035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(8,479)</w:t>
            </w: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(416.7)%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tcBorders>
              <w:bottom w:val="single" w:sz="8" w:color="CCEEFF"/>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income</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630</w:t>
            </w:r>
          </w:p>
        </w:tc>
        <w:tc>
          <w:tcPr>
            <w:tcW w:w="2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366</w:t>
            </w: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264</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72.1%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tcPr>
          <w:p>
            <w:pPr>
              <w:ind w:left="360"/>
              <w:spacing w:after="0"/>
              <w:rPr>
                <w:sz w:val="20"/>
                <w:szCs w:val="20"/>
                <w:color w:val="auto"/>
              </w:rPr>
            </w:pPr>
            <w:r>
              <w:rPr>
                <w:rFonts w:ascii="Arial" w:cs="Arial" w:eastAsia="Arial" w:hAnsi="Arial"/>
                <w:sz w:val="17"/>
                <w:szCs w:val="17"/>
                <w:color w:val="auto"/>
              </w:rPr>
              <w:t>Total revenues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26,624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34,899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(8,275)</w:t>
            </w: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(23.7)%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Expense</w:t>
            </w:r>
            <w:r>
              <w:rPr>
                <w:rFonts w:ascii="Arial" w:cs="Arial" w:eastAsia="Arial" w:hAnsi="Arial"/>
                <w:sz w:val="17"/>
                <w:szCs w:val="17"/>
                <w:color w:val="auto"/>
              </w:rPr>
              <w:t>s</w:t>
            </w: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ind w:left="40"/>
              <w:spacing w:after="0"/>
              <w:rPr>
                <w:sz w:val="20"/>
                <w:szCs w:val="20"/>
                <w:color w:val="auto"/>
              </w:rPr>
            </w:pPr>
            <w:r>
              <w:rPr>
                <w:rFonts w:ascii="Arial" w:cs="Arial" w:eastAsia="Arial" w:hAnsi="Arial"/>
                <w:sz w:val="17"/>
                <w:szCs w:val="17"/>
                <w:color w:val="auto"/>
              </w:rPr>
              <w:t>Loss and loss adjustment expenses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Direct and assumed:</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ind w:left="200"/>
              <w:spacing w:after="0"/>
              <w:rPr>
                <w:sz w:val="20"/>
                <w:szCs w:val="20"/>
                <w:color w:val="auto"/>
              </w:rPr>
            </w:pPr>
            <w:r>
              <w:rPr>
                <w:rFonts w:ascii="Arial" w:cs="Arial" w:eastAsia="Arial" w:hAnsi="Arial"/>
                <w:sz w:val="17"/>
                <w:szCs w:val="17"/>
                <w:color w:val="auto"/>
              </w:rPr>
              <w:t>Loss and loss adjustment expenses excluding the effect of catastrophes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21,971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26,643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(4,672)</w:t>
            </w: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(17.5)%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Losses from catastrophes (1)</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(5,346)</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98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5980" w:type="dxa"/>
            <w:vAlign w:val="bottom"/>
          </w:tcPr>
          <w:p>
            <w:pPr>
              <w:ind w:left="200"/>
              <w:spacing w:after="0"/>
              <w:rPr>
                <w:sz w:val="20"/>
                <w:szCs w:val="20"/>
                <w:color w:val="auto"/>
              </w:rPr>
            </w:pPr>
            <w:r>
              <w:rPr>
                <w:rFonts w:ascii="Arial" w:cs="Arial" w:eastAsia="Arial" w:hAnsi="Arial"/>
                <w:sz w:val="17"/>
                <w:szCs w:val="17"/>
                <w:color w:val="auto"/>
              </w:rPr>
              <w:t>Total direct and assumed loss and loss adjustment expenses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22,252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32,270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(10,018)</w:t>
            </w: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(31.0)%</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ind w:left="200"/>
              <w:spacing w:after="0"/>
              <w:rPr>
                <w:sz w:val="20"/>
                <w:szCs w:val="20"/>
                <w:color w:val="auto"/>
              </w:rPr>
            </w:pPr>
            <w:r>
              <w:rPr>
                <w:rFonts w:ascii="Arial" w:cs="Arial" w:eastAsia="Arial" w:hAnsi="Arial"/>
                <w:sz w:val="17"/>
                <w:szCs w:val="17"/>
                <w:color w:val="auto"/>
              </w:rPr>
              <w:t>Ceded loss and loss adjustment expenses: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Loss and loss adjustment expenses excluding the effect of catastrophes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5,784</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3,212</w:t>
            </w:r>
          </w:p>
        </w:tc>
        <w:tc>
          <w:tcPr>
            <w:tcW w:w="2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124.9%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tcPr>
          <w:p>
            <w:pPr>
              <w:ind w:left="200"/>
              <w:spacing w:after="0"/>
              <w:rPr>
                <w:sz w:val="20"/>
                <w:szCs w:val="20"/>
                <w:color w:val="auto"/>
              </w:rPr>
            </w:pPr>
            <w:r>
              <w:rPr>
                <w:rFonts w:ascii="Arial" w:cs="Arial" w:eastAsia="Arial" w:hAnsi="Arial"/>
                <w:sz w:val="17"/>
                <w:szCs w:val="17"/>
                <w:color w:val="auto"/>
              </w:rPr>
              <w:t>Losses from catastrophes (1)</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564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(481)</w:t>
            </w: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(85.3)%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tcBorders>
              <w:bottom w:val="single" w:sz="8" w:color="CCEEFF"/>
              <w:right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Total ceded loss and loss adjustment expenses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5,867</w:t>
            </w:r>
          </w:p>
        </w:tc>
        <w:tc>
          <w:tcPr>
            <w:tcW w:w="2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3,136</w:t>
            </w: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2,731</w:t>
            </w:r>
          </w:p>
        </w:tc>
        <w:tc>
          <w:tcPr>
            <w:tcW w:w="2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87.1%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Net loss and loss adjustment expenses: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ind w:left="200"/>
              <w:spacing w:after="0"/>
              <w:rPr>
                <w:sz w:val="20"/>
                <w:szCs w:val="20"/>
                <w:color w:val="auto"/>
              </w:rPr>
            </w:pPr>
            <w:r>
              <w:rPr>
                <w:rFonts w:ascii="Arial" w:cs="Arial" w:eastAsia="Arial" w:hAnsi="Arial"/>
                <w:sz w:val="17"/>
                <w:szCs w:val="17"/>
                <w:color w:val="auto"/>
              </w:rPr>
              <w:t>Loss and loss adjustment expenses excluding the effect of catastrophes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16,187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24,071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(7,884)</w:t>
            </w: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(32.8)%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Losses from catastrophes (1)</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(4,865)</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98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5980" w:type="dxa"/>
            <w:vAlign w:val="bottom"/>
          </w:tcPr>
          <w:p>
            <w:pPr>
              <w:ind w:left="200"/>
              <w:spacing w:after="0"/>
              <w:rPr>
                <w:sz w:val="20"/>
                <w:szCs w:val="20"/>
                <w:color w:val="auto"/>
              </w:rPr>
            </w:pPr>
            <w:r>
              <w:rPr>
                <w:rFonts w:ascii="Arial" w:cs="Arial" w:eastAsia="Arial" w:hAnsi="Arial"/>
                <w:sz w:val="17"/>
                <w:szCs w:val="17"/>
                <w:color w:val="auto"/>
              </w:rPr>
              <w:t>Net loss and loss adjustment expenses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16,385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29,134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(12,749)</w:t>
            </w: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(43.8)%</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ind w:left="40"/>
              <w:spacing w:after="0"/>
              <w:rPr>
                <w:sz w:val="20"/>
                <w:szCs w:val="20"/>
                <w:color w:val="auto"/>
              </w:rPr>
            </w:pPr>
            <w:r>
              <w:rPr>
                <w:rFonts w:ascii="Arial" w:cs="Arial" w:eastAsia="Arial" w:hAnsi="Arial"/>
                <w:sz w:val="17"/>
                <w:szCs w:val="17"/>
                <w:color w:val="auto"/>
              </w:rPr>
              <w:t>Commission expense</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7,899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6,853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1,046</w:t>
            </w:r>
          </w:p>
        </w:tc>
        <w:tc>
          <w:tcPr>
            <w:tcW w:w="26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15.3%</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underwriting expenses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6,136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626</w:t>
            </w:r>
          </w:p>
        </w:tc>
        <w:tc>
          <w:tcPr>
            <w:tcW w:w="2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ind w:left="40"/>
              <w:spacing w:after="0"/>
              <w:rPr>
                <w:sz w:val="20"/>
                <w:szCs w:val="20"/>
                <w:color w:val="auto"/>
              </w:rPr>
            </w:pPr>
            <w:r>
              <w:rPr>
                <w:rFonts w:ascii="Arial" w:cs="Arial" w:eastAsia="Arial" w:hAnsi="Arial"/>
                <w:sz w:val="17"/>
                <w:szCs w:val="17"/>
                <w:color w:val="auto"/>
              </w:rPr>
              <w:t>Other operating expenses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1,563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972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591</w:t>
            </w:r>
          </w:p>
        </w:tc>
        <w:tc>
          <w:tcPr>
            <w:tcW w:w="26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60.8%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Depreciation and amortization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2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tcPr>
          <w:p>
            <w:pPr>
              <w:ind w:left="40"/>
              <w:spacing w:after="0"/>
              <w:rPr>
                <w:sz w:val="20"/>
                <w:szCs w:val="20"/>
                <w:color w:val="auto"/>
              </w:rPr>
            </w:pPr>
            <w:r>
              <w:rPr>
                <w:rFonts w:ascii="Arial" w:cs="Arial" w:eastAsia="Arial" w:hAnsi="Arial"/>
                <w:sz w:val="17"/>
                <w:szCs w:val="17"/>
                <w:color w:val="auto"/>
              </w:rPr>
              <w:t>Interest expense</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457</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457</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expenses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33,753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44,154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(10,401)</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Borders>
              <w:right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Loss before taxes</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(7,129)</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(9,255)</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2,126</w:t>
            </w:r>
          </w:p>
        </w:tc>
        <w:tc>
          <w:tcPr>
            <w:tcW w:w="26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(23.0)%</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ind w:left="200"/>
              <w:spacing w:after="0"/>
              <w:rPr>
                <w:sz w:val="20"/>
                <w:szCs w:val="20"/>
                <w:color w:val="auto"/>
              </w:rPr>
            </w:pPr>
            <w:r>
              <w:rPr>
                <w:rFonts w:ascii="Arial" w:cs="Arial" w:eastAsia="Arial" w:hAnsi="Arial"/>
                <w:sz w:val="17"/>
                <w:szCs w:val="17"/>
                <w:color w:val="auto"/>
              </w:rPr>
              <w:t>Income tax benefit</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(1,686)</w:t>
            </w: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(1,920)</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234</w:t>
            </w:r>
          </w:p>
        </w:tc>
        <w:tc>
          <w:tcPr>
            <w:tcW w:w="26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(12.2)%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9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98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Net loss</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(5,443)</w:t>
            </w:r>
          </w:p>
        </w:tc>
        <w:tc>
          <w:tcPr>
            <w:tcW w:w="220" w:type="dxa"/>
            <w:vAlign w:val="bottom"/>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(7,335)</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1,892</w:t>
            </w:r>
          </w:p>
        </w:tc>
        <w:tc>
          <w:tcPr>
            <w:tcW w:w="26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(25.8)%</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left="320" w:right="60" w:hanging="2"/>
        <w:spacing w:after="0" w:line="293" w:lineRule="auto"/>
        <w:tabs>
          <w:tab w:leader="none" w:pos="562"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three months ended March 31, 2020 and 2019 include catastrophe losses, which are defined as losses from an event for which a catastrophe bulletin and related serial number has been issued by the Property Claims Services (PCS) unit of the Insurance Services Office (ISO). PCS catastrophe bulletins are issued for events that cause more than $25 million in total insured losses and affect a significant number of policyholders and insurers.</w:t>
      </w:r>
    </w:p>
    <w:p>
      <w:pPr>
        <w:spacing w:after="0" w:line="319"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300"/>
          </w:cols>
          <w:pgMar w:left="320" w:top="571" w:right="279" w:bottom="382"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76"/>
        </w:trPr>
        <w:tc>
          <w:tcPr>
            <w:tcW w:w="60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340" w:type="dxa"/>
            <w:vAlign w:val="bottom"/>
            <w:gridSpan w:val="6"/>
          </w:tcPr>
          <w:p>
            <w:pPr>
              <w:jc w:val="center"/>
              <w:ind w:right="940"/>
              <w:spacing w:after="0"/>
              <w:rPr>
                <w:sz w:val="20"/>
                <w:szCs w:val="20"/>
                <w:color w:val="auto"/>
              </w:rPr>
            </w:pPr>
            <w:r>
              <w:rPr>
                <w:rFonts w:ascii="Arial" w:cs="Arial" w:eastAsia="Arial" w:hAnsi="Arial"/>
                <w:sz w:val="14"/>
                <w:szCs w:val="14"/>
                <w:b w:val="1"/>
                <w:bCs w:val="1"/>
                <w:color w:val="auto"/>
                <w:w w:val="93"/>
              </w:rPr>
              <w:t>Three months ended March 31,</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60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90"/>
              </w:rPr>
              <w:t>Percentage Point</w:t>
            </w: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000" w:type="dxa"/>
            <w:vAlign w:val="bottom"/>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Borders>
              <w:bottom w:val="single" w:sz="8" w:color="auto"/>
            </w:tcBorders>
          </w:tcPr>
          <w:p>
            <w:pPr>
              <w:jc w:val="right"/>
              <w:ind w:right="318"/>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5"/>
                <w:szCs w:val="15"/>
                <w:color w:val="auto"/>
              </w:rPr>
            </w:pPr>
          </w:p>
        </w:tc>
        <w:tc>
          <w:tcPr>
            <w:tcW w:w="108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5"/>
                <w:szCs w:val="15"/>
                <w:color w:val="auto"/>
              </w:rPr>
            </w:pPr>
          </w:p>
        </w:tc>
        <w:tc>
          <w:tcPr>
            <w:tcW w:w="11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3"/>
              </w:rPr>
              <w:t>Percent Change</w:t>
            </w:r>
          </w:p>
        </w:tc>
        <w:tc>
          <w:tcPr>
            <w:tcW w:w="1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468"/>
        </w:trPr>
        <w:tc>
          <w:tcPr>
            <w:tcW w:w="6680" w:type="dxa"/>
            <w:vAlign w:val="bottom"/>
            <w:gridSpan w:val="2"/>
          </w:tcPr>
          <w:p>
            <w:pPr>
              <w:ind w:left="40"/>
              <w:spacing w:after="0"/>
              <w:rPr>
                <w:sz w:val="20"/>
                <w:szCs w:val="20"/>
                <w:color w:val="auto"/>
              </w:rPr>
            </w:pPr>
            <w:r>
              <w:rPr>
                <w:rFonts w:ascii="Arial" w:cs="Arial" w:eastAsia="Arial" w:hAnsi="Arial"/>
                <w:sz w:val="17"/>
                <w:szCs w:val="17"/>
                <w:b w:val="1"/>
                <w:bCs w:val="1"/>
                <w:color w:val="auto"/>
              </w:rPr>
              <w:t>Key ratios:</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668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Net loss ratio</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60.8%</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98.4%</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(37.6)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0" w:type="dxa"/>
            <w:vAlign w:val="bottom"/>
          </w:tcPr>
          <w:p>
            <w:pPr>
              <w:ind w:left="40"/>
              <w:spacing w:after="0"/>
              <w:rPr>
                <w:sz w:val="20"/>
                <w:szCs w:val="20"/>
                <w:color w:val="auto"/>
              </w:rPr>
            </w:pPr>
            <w:r>
              <w:rPr>
                <w:rFonts w:ascii="Arial" w:cs="Arial" w:eastAsia="Arial" w:hAnsi="Arial"/>
                <w:sz w:val="17"/>
                <w:szCs w:val="17"/>
                <w:color w:val="auto"/>
              </w:rPr>
              <w:t>Net underwriting expense ratio</w:t>
            </w:r>
          </w:p>
        </w:tc>
        <w:tc>
          <w:tcPr>
            <w:tcW w:w="6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rPr>
              <w:t>39.3%</w:t>
            </w:r>
          </w:p>
        </w:tc>
        <w:tc>
          <w:tcPr>
            <w:tcW w:w="1340" w:type="dxa"/>
            <w:vAlign w:val="bottom"/>
            <w:gridSpan w:val="2"/>
          </w:tcPr>
          <w:p>
            <w:pPr>
              <w:jc w:val="right"/>
              <w:ind w:right="120"/>
              <w:spacing w:after="0"/>
              <w:rPr>
                <w:sz w:val="20"/>
                <w:szCs w:val="20"/>
                <w:color w:val="auto"/>
              </w:rPr>
            </w:pPr>
            <w:r>
              <w:rPr>
                <w:rFonts w:ascii="Arial" w:cs="Arial" w:eastAsia="Arial" w:hAnsi="Arial"/>
                <w:sz w:val="17"/>
                <w:szCs w:val="17"/>
                <w:color w:val="auto"/>
              </w:rPr>
              <w:t>38.5%</w:t>
            </w:r>
          </w:p>
        </w:tc>
        <w:tc>
          <w:tcPr>
            <w:tcW w:w="1080" w:type="dxa"/>
            <w:vAlign w:val="bottom"/>
          </w:tcPr>
          <w:p>
            <w:pPr>
              <w:jc w:val="right"/>
              <w:spacing w:after="0"/>
              <w:rPr>
                <w:sz w:val="20"/>
                <w:szCs w:val="20"/>
                <w:color w:val="auto"/>
              </w:rPr>
            </w:pPr>
            <w:r>
              <w:rPr>
                <w:rFonts w:ascii="Arial" w:cs="Arial" w:eastAsia="Arial" w:hAnsi="Arial"/>
                <w:sz w:val="17"/>
                <w:szCs w:val="17"/>
                <w:color w:val="auto"/>
              </w:rPr>
              <w:t>0.8</w:t>
            </w:r>
          </w:p>
        </w:tc>
        <w:tc>
          <w:tcPr>
            <w:tcW w:w="2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60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0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combined ratio</w:t>
            </w:r>
          </w:p>
        </w:tc>
        <w:tc>
          <w:tcPr>
            <w:tcW w:w="6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0"/>
              </w:rPr>
              <w:t>100.1%</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136.9%</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(36.8)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(26.9)%</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Direct Written Premiums</w:t>
      </w:r>
    </w:p>
    <w:p>
      <w:pPr>
        <w:spacing w:after="0" w:line="157" w:lineRule="exact"/>
        <w:rPr>
          <w:sz w:val="20"/>
          <w:szCs w:val="20"/>
          <w:color w:val="auto"/>
        </w:rPr>
      </w:pPr>
    </w:p>
    <w:p>
      <w:pPr>
        <w:jc w:val="both"/>
        <w:ind w:right="60" w:firstLine="627"/>
        <w:spacing w:after="0" w:line="286" w:lineRule="auto"/>
        <w:rPr>
          <w:sz w:val="20"/>
          <w:szCs w:val="20"/>
          <w:color w:val="auto"/>
        </w:rPr>
      </w:pPr>
      <w:r>
        <w:rPr>
          <w:rFonts w:ascii="Arial" w:cs="Arial" w:eastAsia="Arial" w:hAnsi="Arial"/>
          <w:sz w:val="16"/>
          <w:szCs w:val="16"/>
          <w:color w:val="auto"/>
        </w:rPr>
        <w:t>Direct written premiums during the three months ended March 31, 2020 (“Three Months 2020”) were $36,697,000 compared to $37,489,000 during the three months ended March 31, 2019 (“Three Months 2019”). The decrease of $792,000, or 2.1%, was primarily due to a $4,714,000 decrease in premiums from our commercial lines business as result of our decision in July 2019 to no longer underwrite this line of business. Direct written premiums from our personal lines business for Three Months 2020 were $34,435,000, an increase of $4,336,000 or 14.4% from $30,099,000 in Three Months 2019.</w:t>
      </w:r>
    </w:p>
    <w:p>
      <w:pPr>
        <w:spacing w:after="0" w:line="103" w:lineRule="exact"/>
        <w:rPr>
          <w:sz w:val="20"/>
          <w:szCs w:val="20"/>
          <w:color w:val="auto"/>
        </w:rPr>
      </w:pPr>
    </w:p>
    <w:p>
      <w:pPr>
        <w:jc w:val="both"/>
        <w:ind w:right="60" w:firstLine="627"/>
        <w:spacing w:after="0" w:line="268" w:lineRule="auto"/>
        <w:rPr>
          <w:sz w:val="20"/>
          <w:szCs w:val="20"/>
          <w:color w:val="auto"/>
        </w:rPr>
      </w:pPr>
      <w:r>
        <w:rPr>
          <w:rFonts w:ascii="Arial" w:cs="Arial" w:eastAsia="Arial" w:hAnsi="Arial"/>
          <w:sz w:val="17"/>
          <w:szCs w:val="17"/>
          <w:color w:val="auto"/>
        </w:rPr>
        <w:t>Beginning in 2017 we started writing homeowners policies in New Jersey. Through 2019 we expanded to Rhode Island, Massachusetts and Connecticut. We refer to our New York business as our “Core” business and the business outside of New York as our “Expansion” business. Direct written premiums from our Expansion business were $6,335,000 in Three Months 2020 compared to $3,232,000 in Three Months 2019.</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Written Premiums and Net Premiums Earned</w:t>
      </w:r>
    </w:p>
    <w:p>
      <w:pPr>
        <w:spacing w:after="0" w:line="157" w:lineRule="exact"/>
        <w:rPr>
          <w:sz w:val="20"/>
          <w:szCs w:val="20"/>
          <w:color w:val="auto"/>
        </w:rPr>
      </w:pPr>
    </w:p>
    <w:p>
      <w:pPr>
        <w:jc w:val="both"/>
        <w:ind w:right="60" w:firstLine="627"/>
        <w:spacing w:after="0" w:line="300" w:lineRule="auto"/>
        <w:rPr>
          <w:sz w:val="20"/>
          <w:szCs w:val="20"/>
          <w:color w:val="auto"/>
        </w:rPr>
      </w:pPr>
      <w:r>
        <w:rPr>
          <w:rFonts w:ascii="Arial" w:cs="Arial" w:eastAsia="Arial" w:hAnsi="Arial"/>
          <w:sz w:val="15"/>
          <w:szCs w:val="15"/>
          <w:color w:val="auto"/>
        </w:rPr>
        <w:t>Through June 30, 2019, our quota share reinsurance treaties were on a July 1 through June 30 fiscal year basis. Effective December 15, 2019, we entered into a quota share reinsurance treaty for our personal lines business covering the period from December 15, 2019 through December 31, 2020 (“2019/2020 Treaty”). Our personal lines quota share reinsurance treaty in effect for Three Months 2019 was covered under a treaty covering a two-year period from July 1, 2017 through June 30, 2019 (“2017/2019 Treaty”). The treaty in effect during Three Months 2019 was covered under the July 1, 2018 through June 30, 2019 treaty year (“2018/2019 Treaty Year”). The following table describes the quota share reinsurance ceding rates in effect for each treaty year during Three Months 2020 and Three Months 2019 under the 2019/2020 Treaty and the 2017/2019 Treaty, respectively. This table should be referred to in conjunction with the discussions for net written premiums, net premiums earned, ceding commission revenue and net loss and loss adjustment expenses that follow.</w:t>
      </w:r>
    </w:p>
    <w:p>
      <w:pPr>
        <w:spacing w:after="0" w:line="399"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300"/>
          </w:cols>
          <w:pgMar w:left="320" w:top="492" w:right="27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76"/>
        </w:trPr>
        <w:tc>
          <w:tcPr>
            <w:tcW w:w="8040" w:type="dxa"/>
            <w:vAlign w:val="bottom"/>
          </w:tcPr>
          <w:p>
            <w:pPr>
              <w:spacing w:after="0"/>
              <w:rPr>
                <w:sz w:val="15"/>
                <w:szCs w:val="15"/>
                <w:color w:val="auto"/>
              </w:rPr>
            </w:pPr>
          </w:p>
        </w:tc>
        <w:tc>
          <w:tcPr>
            <w:tcW w:w="286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Three months ended March 31,</w:t>
            </w:r>
          </w:p>
        </w:tc>
        <w:tc>
          <w:tcPr>
            <w:tcW w:w="340" w:type="dxa"/>
            <w:vAlign w:val="bottom"/>
          </w:tcPr>
          <w:p>
            <w:pPr>
              <w:spacing w:after="0"/>
              <w:rPr>
                <w:sz w:val="15"/>
                <w:szCs w:val="15"/>
                <w:color w:val="auto"/>
              </w:rPr>
            </w:pPr>
          </w:p>
        </w:tc>
      </w:tr>
      <w:tr>
        <w:trPr>
          <w:trHeight w:val="163"/>
        </w:trPr>
        <w:tc>
          <w:tcPr>
            <w:tcW w:w="8040" w:type="dxa"/>
            <w:vAlign w:val="bottom"/>
          </w:tcPr>
          <w:p>
            <w:pPr>
              <w:spacing w:after="0"/>
              <w:rPr>
                <w:sz w:val="14"/>
                <w:szCs w:val="14"/>
                <w:color w:val="auto"/>
              </w:rPr>
            </w:pPr>
          </w:p>
        </w:tc>
        <w:tc>
          <w:tcPr>
            <w:tcW w:w="1180" w:type="dxa"/>
            <w:vAlign w:val="bottom"/>
            <w:tcBorders>
              <w:bottom w:val="single" w:sz="8" w:color="auto"/>
            </w:tcBorders>
          </w:tcPr>
          <w:p>
            <w:pPr>
              <w:jc w:val="right"/>
              <w:ind w:right="366"/>
              <w:spacing w:after="0" w:line="157" w:lineRule="exact"/>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4"/>
                <w:szCs w:val="14"/>
                <w:color w:val="auto"/>
              </w:rPr>
            </w:pPr>
          </w:p>
        </w:tc>
        <w:tc>
          <w:tcPr>
            <w:tcW w:w="1180" w:type="dxa"/>
            <w:vAlign w:val="bottom"/>
            <w:tcBorders>
              <w:bottom w:val="single" w:sz="8" w:color="auto"/>
            </w:tcBorders>
          </w:tcPr>
          <w:p>
            <w:pPr>
              <w:jc w:val="right"/>
              <w:ind w:right="365"/>
              <w:spacing w:after="0" w:line="157" w:lineRule="exact"/>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4"/>
                <w:szCs w:val="14"/>
                <w:color w:val="auto"/>
              </w:rPr>
            </w:pPr>
          </w:p>
        </w:tc>
      </w:tr>
      <w:tr>
        <w:trPr>
          <w:trHeight w:val="143"/>
        </w:trPr>
        <w:tc>
          <w:tcPr>
            <w:tcW w:w="8040" w:type="dxa"/>
            <w:vAlign w:val="bottom"/>
          </w:tcPr>
          <w:p>
            <w:pPr>
              <w:spacing w:after="0"/>
              <w:rPr>
                <w:sz w:val="12"/>
                <w:szCs w:val="12"/>
                <w:color w:val="auto"/>
              </w:rPr>
            </w:pPr>
          </w:p>
        </w:tc>
        <w:tc>
          <w:tcPr>
            <w:tcW w:w="1180" w:type="dxa"/>
            <w:vAlign w:val="bottom"/>
          </w:tcPr>
          <w:p>
            <w:pPr>
              <w:jc w:val="right"/>
              <w:ind w:right="146"/>
              <w:spacing w:after="0" w:line="143" w:lineRule="exact"/>
              <w:rPr>
                <w:sz w:val="20"/>
                <w:szCs w:val="20"/>
                <w:color w:val="auto"/>
              </w:rPr>
            </w:pPr>
            <w:r>
              <w:rPr>
                <w:rFonts w:ascii="Arial" w:cs="Arial" w:eastAsia="Arial" w:hAnsi="Arial"/>
                <w:sz w:val="14"/>
                <w:szCs w:val="14"/>
                <w:b w:val="1"/>
                <w:bCs w:val="1"/>
                <w:color w:val="auto"/>
              </w:rPr>
              <w:t>("2019/2020</w:t>
            </w:r>
          </w:p>
        </w:tc>
        <w:tc>
          <w:tcPr>
            <w:tcW w:w="500" w:type="dxa"/>
            <w:vAlign w:val="bottom"/>
          </w:tcPr>
          <w:p>
            <w:pPr>
              <w:spacing w:after="0"/>
              <w:rPr>
                <w:sz w:val="12"/>
                <w:szCs w:val="12"/>
                <w:color w:val="auto"/>
              </w:rPr>
            </w:pPr>
          </w:p>
        </w:tc>
        <w:tc>
          <w:tcPr>
            <w:tcW w:w="1180" w:type="dxa"/>
            <w:vAlign w:val="bottom"/>
          </w:tcPr>
          <w:p>
            <w:pPr>
              <w:jc w:val="right"/>
              <w:ind w:right="145"/>
              <w:spacing w:after="0" w:line="143" w:lineRule="exact"/>
              <w:rPr>
                <w:sz w:val="20"/>
                <w:szCs w:val="20"/>
                <w:color w:val="auto"/>
              </w:rPr>
            </w:pPr>
            <w:r>
              <w:rPr>
                <w:rFonts w:ascii="Arial" w:cs="Arial" w:eastAsia="Arial" w:hAnsi="Arial"/>
                <w:sz w:val="14"/>
                <w:szCs w:val="14"/>
                <w:b w:val="1"/>
                <w:bCs w:val="1"/>
                <w:color w:val="auto"/>
              </w:rPr>
              <w:t>("2018/2019</w:t>
            </w:r>
          </w:p>
        </w:tc>
        <w:tc>
          <w:tcPr>
            <w:tcW w:w="340" w:type="dxa"/>
            <w:vAlign w:val="bottom"/>
          </w:tcPr>
          <w:p>
            <w:pPr>
              <w:spacing w:after="0"/>
              <w:rPr>
                <w:sz w:val="12"/>
                <w:szCs w:val="12"/>
                <w:color w:val="auto"/>
              </w:rPr>
            </w:pPr>
          </w:p>
        </w:tc>
      </w:tr>
      <w:tr>
        <w:trPr>
          <w:trHeight w:val="170"/>
        </w:trPr>
        <w:tc>
          <w:tcPr>
            <w:tcW w:w="8040" w:type="dxa"/>
            <w:vAlign w:val="bottom"/>
          </w:tcPr>
          <w:p>
            <w:pPr>
              <w:spacing w:after="0"/>
              <w:rPr>
                <w:sz w:val="14"/>
                <w:szCs w:val="14"/>
                <w:color w:val="auto"/>
              </w:rPr>
            </w:pPr>
          </w:p>
        </w:tc>
        <w:tc>
          <w:tcPr>
            <w:tcW w:w="1180" w:type="dxa"/>
            <w:vAlign w:val="bottom"/>
          </w:tcPr>
          <w:p>
            <w:pPr>
              <w:ind w:left="320"/>
              <w:spacing w:after="0"/>
              <w:rPr>
                <w:sz w:val="20"/>
                <w:szCs w:val="20"/>
                <w:color w:val="auto"/>
              </w:rPr>
            </w:pPr>
            <w:r>
              <w:rPr>
                <w:rFonts w:ascii="Arial" w:cs="Arial" w:eastAsia="Arial" w:hAnsi="Arial"/>
                <w:sz w:val="14"/>
                <w:szCs w:val="14"/>
                <w:b w:val="1"/>
                <w:bCs w:val="1"/>
                <w:color w:val="auto"/>
              </w:rPr>
              <w:t>Treaty")</w:t>
            </w:r>
          </w:p>
        </w:tc>
        <w:tc>
          <w:tcPr>
            <w:tcW w:w="500" w:type="dxa"/>
            <w:vAlign w:val="bottom"/>
          </w:tcPr>
          <w:p>
            <w:pPr>
              <w:spacing w:after="0"/>
              <w:rPr>
                <w:sz w:val="14"/>
                <w:szCs w:val="14"/>
                <w:color w:val="auto"/>
              </w:rPr>
            </w:pPr>
          </w:p>
        </w:tc>
        <w:tc>
          <w:tcPr>
            <w:tcW w:w="1180" w:type="dxa"/>
            <w:vAlign w:val="bottom"/>
          </w:tcPr>
          <w:p>
            <w:pPr>
              <w:jc w:val="right"/>
              <w:ind w:right="85"/>
              <w:spacing w:after="0"/>
              <w:rPr>
                <w:sz w:val="20"/>
                <w:szCs w:val="20"/>
                <w:color w:val="auto"/>
              </w:rPr>
            </w:pPr>
            <w:r>
              <w:rPr>
                <w:rFonts w:ascii="Arial" w:cs="Arial" w:eastAsia="Arial" w:hAnsi="Arial"/>
                <w:sz w:val="14"/>
                <w:szCs w:val="14"/>
                <w:b w:val="1"/>
                <w:bCs w:val="1"/>
                <w:color w:val="auto"/>
              </w:rPr>
              <w:t>Treaty Year")</w:t>
            </w:r>
          </w:p>
        </w:tc>
        <w:tc>
          <w:tcPr>
            <w:tcW w:w="340" w:type="dxa"/>
            <w:vAlign w:val="bottom"/>
          </w:tcPr>
          <w:p>
            <w:pPr>
              <w:spacing w:after="0"/>
              <w:rPr>
                <w:sz w:val="14"/>
                <w:szCs w:val="14"/>
                <w:color w:val="auto"/>
              </w:rPr>
            </w:pPr>
          </w:p>
        </w:tc>
      </w:tr>
      <w:tr>
        <w:trPr>
          <w:trHeight w:val="209"/>
        </w:trPr>
        <w:tc>
          <w:tcPr>
            <w:tcW w:w="80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09"/>
        </w:trPr>
        <w:tc>
          <w:tcPr>
            <w:tcW w:w="8040" w:type="dxa"/>
            <w:vAlign w:val="bottom"/>
          </w:tcPr>
          <w:p>
            <w:pPr>
              <w:ind w:left="40"/>
              <w:spacing w:after="0"/>
              <w:rPr>
                <w:sz w:val="20"/>
                <w:szCs w:val="20"/>
                <w:color w:val="auto"/>
              </w:rPr>
            </w:pPr>
            <w:r>
              <w:rPr>
                <w:rFonts w:ascii="Arial" w:cs="Arial" w:eastAsia="Arial" w:hAnsi="Arial"/>
                <w:sz w:val="17"/>
                <w:szCs w:val="17"/>
                <w:color w:val="auto"/>
              </w:rPr>
              <w:t>Quota share reinsurance rates</w:t>
            </w: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09"/>
        </w:trPr>
        <w:tc>
          <w:tcPr>
            <w:tcW w:w="8040" w:type="dxa"/>
            <w:vAlign w:val="bottom"/>
            <w:shd w:val="clear" w:color="auto" w:fill="CCEEFF"/>
          </w:tcPr>
          <w:p>
            <w:pPr>
              <w:ind w:left="40"/>
              <w:spacing w:after="0"/>
              <w:rPr>
                <w:sz w:val="20"/>
                <w:szCs w:val="20"/>
                <w:color w:val="auto"/>
              </w:rPr>
            </w:pPr>
            <w:r>
              <w:rPr>
                <w:rFonts w:ascii="Arial" w:cs="Arial" w:eastAsia="Arial" w:hAnsi="Arial"/>
                <w:sz w:val="17"/>
                <w:szCs w:val="17"/>
                <w:color w:val="auto"/>
              </w:rPr>
              <w:t>Personal lines</w:t>
            </w:r>
          </w:p>
        </w:tc>
        <w:tc>
          <w:tcPr>
            <w:tcW w:w="1180" w:type="dxa"/>
            <w:vAlign w:val="bottom"/>
            <w:shd w:val="clear" w:color="auto" w:fill="CCEEFF"/>
          </w:tcPr>
          <w:p>
            <w:pPr>
              <w:ind w:left="480"/>
              <w:spacing w:after="0"/>
              <w:rPr>
                <w:sz w:val="20"/>
                <w:szCs w:val="20"/>
                <w:color w:val="auto"/>
              </w:rPr>
            </w:pPr>
            <w:r>
              <w:rPr>
                <w:rFonts w:ascii="Arial" w:cs="Arial" w:eastAsia="Arial" w:hAnsi="Arial"/>
                <w:sz w:val="17"/>
                <w:szCs w:val="17"/>
                <w:color w:val="auto"/>
              </w:rPr>
              <w:t>25%</w:t>
            </w:r>
          </w:p>
        </w:tc>
        <w:tc>
          <w:tcPr>
            <w:tcW w:w="5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w w:val="86"/>
              </w:rPr>
              <w:t>(2)</w:t>
            </w:r>
          </w:p>
        </w:tc>
        <w:tc>
          <w:tcPr>
            <w:tcW w:w="1180" w:type="dxa"/>
            <w:vAlign w:val="bottom"/>
            <w:shd w:val="clear" w:color="auto" w:fill="CCEEFF"/>
          </w:tcPr>
          <w:p>
            <w:pPr>
              <w:jc w:val="right"/>
              <w:ind w:right="305"/>
              <w:spacing w:after="0"/>
              <w:rPr>
                <w:sz w:val="20"/>
                <w:szCs w:val="20"/>
                <w:color w:val="auto"/>
              </w:rPr>
            </w:pPr>
            <w:r>
              <w:rPr>
                <w:rFonts w:ascii="Arial" w:cs="Arial" w:eastAsia="Arial" w:hAnsi="Arial"/>
                <w:sz w:val="17"/>
                <w:szCs w:val="17"/>
                <w:color w:val="auto"/>
              </w:rPr>
              <w:t>10%</w:t>
            </w:r>
          </w:p>
        </w:tc>
        <w:tc>
          <w:tcPr>
            <w:tcW w:w="3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6"/>
              </w:rPr>
              <w:t>(1)</w:t>
            </w:r>
          </w:p>
        </w:tc>
      </w:tr>
    </w:tbl>
    <w:p>
      <w:pPr>
        <w:spacing w:after="0" w:line="201" w:lineRule="exact"/>
        <w:rPr>
          <w:sz w:val="20"/>
          <w:szCs w:val="20"/>
          <w:color w:val="auto"/>
        </w:rPr>
      </w:pPr>
    </w:p>
    <w:p>
      <w:pPr>
        <w:ind w:left="940" w:hanging="308"/>
        <w:spacing w:after="0" w:line="260" w:lineRule="auto"/>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2018/2019 Treaty Year, covered under the 2017/2019 Treaty, expired on a run-off basis effective July 1, 2019 through June 30, 2020 (the “2019 Run-off”).</w:t>
      </w:r>
    </w:p>
    <w:p>
      <w:pPr>
        <w:ind w:left="940" w:hanging="308"/>
        <w:spacing w:after="0"/>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2019/2020 Treaty was effective December 15, 2019 with a quota share reinsurance rate of 25%.</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See “Reinsurance” below for changes to our personal lines quota share treaty effective December 15, 2019, and July 1, 2019 and 2018.</w:t>
      </w:r>
    </w:p>
    <w:p>
      <w:pPr>
        <w:spacing w:after="0" w:line="249" w:lineRule="exact"/>
        <w:rPr>
          <w:sz w:val="20"/>
          <w:szCs w:val="20"/>
          <w:color w:val="auto"/>
        </w:rPr>
      </w:pPr>
    </w:p>
    <w:p>
      <w:pPr>
        <w:jc w:val="both"/>
        <w:ind w:firstLine="627"/>
        <w:spacing w:after="0" w:line="278" w:lineRule="auto"/>
        <w:rPr>
          <w:sz w:val="20"/>
          <w:szCs w:val="20"/>
          <w:color w:val="auto"/>
        </w:rPr>
      </w:pPr>
      <w:r>
        <w:rPr>
          <w:rFonts w:ascii="Arial" w:cs="Arial" w:eastAsia="Arial" w:hAnsi="Arial"/>
          <w:sz w:val="16"/>
          <w:szCs w:val="16"/>
          <w:color w:val="auto"/>
        </w:rPr>
        <w:t>Net written premiums decreased $7,170,000, or 23.6%, to $23,191,000 in Three Months 2020 from $30,361,000 in Three Months 2019. Net written premiums include direct and assumed premiums, less the amount of written premiums ceded under our reinsurance treaties (quota share, excess of loss, and catastrophe). The decrease in net written premiums in Three Months 2020 was attributable to the inception of the 2019/2020 Treaty on December 15, 2019 and the decrease in commercial lines premiums which are not subject to a quota share treaty. In Three Months 2020, our premiums ceded under quota share treaties increased by $4,439,000 over the comparable ceded premiums in Three Months 2019. Our personal lines business was subject to the 2017/2019 Treaty under the 2018/2019 Treaty Year through June 30, 2019. Following June 30, 2019, any earned premium and associated claims for policies still in force will continue to be ceded under the 10% quota share rate until such policies expire (run-off) over the next year. The 2019 Run-off period is from July 1, 2019 through June 30, 2020 and there was no return of unearned premiums under this arrangement.</w:t>
      </w:r>
    </w:p>
    <w:p>
      <w:pPr>
        <w:spacing w:after="0" w:line="112"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Excess of loss reinsurance treaties</w:t>
      </w:r>
    </w:p>
    <w:p>
      <w:pPr>
        <w:spacing w:after="0" w:line="157" w:lineRule="exact"/>
        <w:rPr>
          <w:sz w:val="20"/>
          <w:szCs w:val="20"/>
          <w:color w:val="auto"/>
        </w:rPr>
      </w:pPr>
    </w:p>
    <w:p>
      <w:pPr>
        <w:jc w:val="both"/>
        <w:ind w:firstLine="627"/>
        <w:spacing w:after="0" w:line="268" w:lineRule="auto"/>
        <w:rPr>
          <w:sz w:val="20"/>
          <w:szCs w:val="20"/>
          <w:color w:val="auto"/>
        </w:rPr>
      </w:pPr>
      <w:r>
        <w:rPr>
          <w:rFonts w:ascii="Arial" w:cs="Arial" w:eastAsia="Arial" w:hAnsi="Arial"/>
          <w:sz w:val="17"/>
          <w:szCs w:val="17"/>
          <w:color w:val="auto"/>
        </w:rPr>
        <w:t>An increase in written premiums will increase the premiums ceded under our excess of loss treaties. In Three Months 2020, our ceded excess of loss reinsurance premiums increased by $91,000 over the comparable ceded premiums for Three Months 2019. The increase was due to an increase in premiums subject to excess of loss reinsurance.</w:t>
      </w:r>
    </w:p>
    <w:p>
      <w:pPr>
        <w:spacing w:after="0" w:line="116"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Catastrophe reinsurance treaties</w:t>
      </w:r>
    </w:p>
    <w:p>
      <w:pPr>
        <w:spacing w:after="0" w:line="157" w:lineRule="exact"/>
        <w:rPr>
          <w:sz w:val="20"/>
          <w:szCs w:val="20"/>
          <w:color w:val="auto"/>
        </w:rPr>
      </w:pPr>
    </w:p>
    <w:p>
      <w:pPr>
        <w:jc w:val="both"/>
        <w:ind w:firstLine="627"/>
        <w:spacing w:after="0" w:line="260" w:lineRule="auto"/>
        <w:rPr>
          <w:sz w:val="20"/>
          <w:szCs w:val="20"/>
          <w:color w:val="auto"/>
        </w:rPr>
      </w:pPr>
      <w:r>
        <w:rPr>
          <w:rFonts w:ascii="Arial" w:cs="Arial" w:eastAsia="Arial" w:hAnsi="Arial"/>
          <w:sz w:val="17"/>
          <w:szCs w:val="17"/>
          <w:color w:val="auto"/>
        </w:rPr>
        <w:t>Most of the premiums written under our personal lines policies are also subject to our catastrophe treaties. An increase in our personal lines business gives rise to more property exposure, which increases our exposure to catastrophe risk; therefore, our premiums ceded under catastrophe treaties will increase. This results in an increase in premiums ceded under our catastrophe treaties provided that reinsurance rates are stable or are increasing. In Three Months 2020, our premiums ceded under catastrophe treaties increased by $1,848,000 over the comparable ceded premiums in Three Months 2019. The change was due to an increase in our catastrophe limit purchased, an increase in premiums subject to catastrophe reinsurance due to continued growth of our personal lines business, and an increase in reinsurance rates effective July 1, 2019. Our ceded catastrophe premiums are paid based on the total direct written premiums subject to the catastrophe reinsurance treaty.</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41" w:name="page42"/>
    <w:bookmarkEnd w:id="41"/>
    <w:p>
      <w:pPr>
        <w:ind w:left="640"/>
        <w:spacing w:after="0"/>
        <w:rPr>
          <w:sz w:val="20"/>
          <w:szCs w:val="20"/>
          <w:color w:val="auto"/>
        </w:rPr>
      </w:pPr>
      <w:r>
        <w:rPr>
          <w:rFonts w:ascii="Arial" w:cs="Arial" w:eastAsia="Arial" w:hAnsi="Arial"/>
          <w:sz w:val="17"/>
          <w:szCs w:val="17"/>
          <w:i w:val="1"/>
          <w:iCs w:val="1"/>
          <w:color w:val="auto"/>
        </w:rPr>
        <w:t>Net premiums earned</w:t>
      </w:r>
    </w:p>
    <w:p>
      <w:pPr>
        <w:spacing w:after="0" w:line="157" w:lineRule="exact"/>
        <w:rPr>
          <w:sz w:val="20"/>
          <w:szCs w:val="20"/>
          <w:color w:val="auto"/>
        </w:rPr>
      </w:pPr>
    </w:p>
    <w:p>
      <w:pPr>
        <w:jc w:val="both"/>
        <w:ind w:right="60" w:firstLine="627"/>
        <w:spacing w:after="0" w:line="350" w:lineRule="auto"/>
        <w:rPr>
          <w:sz w:val="20"/>
          <w:szCs w:val="20"/>
          <w:color w:val="auto"/>
        </w:rPr>
      </w:pPr>
      <w:r>
        <w:rPr>
          <w:rFonts w:ascii="Arial" w:cs="Arial" w:eastAsia="Arial" w:hAnsi="Arial"/>
          <w:sz w:val="15"/>
          <w:szCs w:val="15"/>
          <w:color w:val="auto"/>
        </w:rPr>
        <w:t>Net premiums earned decreased $2,655,000, or 9.0%, to $26,941,000 in Three Months 2020 from $29,596,000 in Three Months 2019. The decrease was due to the inception of the 2019/2020 Treaty on December 15, 2019 and the decrease in commercial lines premiums which are not subject to a quota share treaty.</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Ceding Commission Revenue</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summarizes the changes in the components of ceding commission revenue (in thousands) for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980" w:type="dxa"/>
            <w:vAlign w:val="bottom"/>
            <w:vMerge w:val="restart"/>
          </w:tcPr>
          <w:p>
            <w:pPr>
              <w:spacing w:after="0"/>
              <w:rPr>
                <w:sz w:val="20"/>
                <w:szCs w:val="20"/>
                <w:color w:val="auto"/>
              </w:rPr>
            </w:pPr>
            <w:r>
              <w:rPr>
                <w:rFonts w:ascii="Arial" w:cs="Arial" w:eastAsia="Arial" w:hAnsi="Arial"/>
                <w:sz w:val="17"/>
                <w:szCs w:val="17"/>
                <w:b w:val="1"/>
                <w:bCs w:val="1"/>
                <w:color w:val="auto"/>
              </w:rPr>
              <w:t>($ in thousands)</w:t>
            </w:r>
          </w:p>
        </w:tc>
        <w:tc>
          <w:tcPr>
            <w:tcW w:w="260" w:type="dxa"/>
            <w:vAlign w:val="bottom"/>
            <w:tcBorders>
              <w:bottom w:val="single" w:sz="8" w:color="auto"/>
            </w:tcBorders>
          </w:tcPr>
          <w:p>
            <w:pPr>
              <w:spacing w:after="0"/>
              <w:rPr>
                <w:sz w:val="15"/>
                <w:szCs w:val="15"/>
                <w:color w:val="auto"/>
              </w:rPr>
            </w:pPr>
          </w:p>
        </w:tc>
        <w:tc>
          <w:tcPr>
            <w:tcW w:w="26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8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9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317"/>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37"/>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8"/>
                <w:szCs w:val="18"/>
                <w:color w:val="auto"/>
              </w:rPr>
            </w:pPr>
          </w:p>
        </w:tc>
        <w:tc>
          <w:tcPr>
            <w:tcW w:w="1280" w:type="dxa"/>
            <w:vAlign w:val="bottom"/>
            <w:gridSpan w:val="3"/>
          </w:tcPr>
          <w:p>
            <w:pPr>
              <w:ind w:left="34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35"/>
        </w:trPr>
        <w:tc>
          <w:tcPr>
            <w:tcW w:w="59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980" w:type="dxa"/>
            <w:vAlign w:val="bottom"/>
            <w:shd w:val="clear" w:color="auto" w:fill="CCEEFF"/>
          </w:tcPr>
          <w:p>
            <w:pPr>
              <w:ind w:left="40"/>
              <w:spacing w:after="0"/>
              <w:rPr>
                <w:sz w:val="20"/>
                <w:szCs w:val="20"/>
                <w:color w:val="auto"/>
              </w:rPr>
            </w:pPr>
            <w:r>
              <w:rPr>
                <w:rFonts w:ascii="Arial" w:cs="Arial" w:eastAsia="Arial" w:hAnsi="Arial"/>
                <w:sz w:val="17"/>
                <w:szCs w:val="17"/>
                <w:color w:val="auto"/>
              </w:rPr>
              <w:t>Provisional ceding commissions earned</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3,720</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2,402</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182.2%</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Contingent ceding commissions earned</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ind w:left="200"/>
              <w:spacing w:after="0"/>
              <w:rPr>
                <w:sz w:val="20"/>
                <w:szCs w:val="20"/>
                <w:color w:val="auto"/>
              </w:rPr>
            </w:pPr>
            <w:r>
              <w:rPr>
                <w:rFonts w:ascii="Arial" w:cs="Arial" w:eastAsia="Arial" w:hAnsi="Arial"/>
                <w:sz w:val="17"/>
                <w:szCs w:val="17"/>
                <w:color w:val="auto"/>
              </w:rPr>
              <w:t>Contingent ceding commissions earned excluding</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the effect of catastrophes</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w:t>
            </w:r>
          </w:p>
        </w:tc>
        <w:tc>
          <w:tcPr>
            <w:tcW w:w="2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(377.5)%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tcPr>
          <w:p>
            <w:pPr>
              <w:ind w:left="200"/>
              <w:spacing w:after="0"/>
              <w:rPr>
                <w:sz w:val="20"/>
                <w:szCs w:val="20"/>
                <w:color w:val="auto"/>
              </w:rPr>
            </w:pPr>
            <w:r>
              <w:rPr>
                <w:rFonts w:ascii="Arial" w:cs="Arial" w:eastAsia="Arial" w:hAnsi="Arial"/>
                <w:sz w:val="17"/>
                <w:szCs w:val="17"/>
                <w:color w:val="auto"/>
              </w:rPr>
              <w:t>Effect of catastrophes on ceding commissions earned</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n/a</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Contingent ceding commissions earned</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w:t>
            </w:r>
          </w:p>
        </w:tc>
        <w:tc>
          <w:tcPr>
            <w:tcW w:w="24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(377.5)%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 ceding commission revenue</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3,831</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1,278</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2,553</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199.8%</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jc w:val="both"/>
        <w:ind w:right="60" w:firstLine="627"/>
        <w:spacing w:after="0" w:line="264" w:lineRule="auto"/>
        <w:rPr>
          <w:sz w:val="20"/>
          <w:szCs w:val="20"/>
          <w:color w:val="auto"/>
        </w:rPr>
      </w:pPr>
      <w:r>
        <w:rPr>
          <w:rFonts w:ascii="Arial" w:cs="Arial" w:eastAsia="Arial" w:hAnsi="Arial"/>
          <w:sz w:val="17"/>
          <w:szCs w:val="17"/>
          <w:color w:val="auto"/>
        </w:rPr>
        <w:t>Ceding commission revenue was $3,831,000 in Three Months 2020 compared to $1,278,000 in Three Months 2019. The increase of $2,553,000, or 199.8%, was due to an increase in both provisional ceding commissions earned and contingent ceding commissions earned. The increase in provisional ceding commissions occurred due to the increase in quota share reinsurance rates effective December 15, 2019 (see below for discussion of provisional ceding commissions earned and contingent ceding commissions earned).</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Provisional Ceding Commissions Earned</w:t>
      </w:r>
    </w:p>
    <w:p>
      <w:pPr>
        <w:spacing w:after="0" w:line="157" w:lineRule="exact"/>
        <w:rPr>
          <w:sz w:val="20"/>
          <w:szCs w:val="20"/>
          <w:color w:val="auto"/>
        </w:rPr>
      </w:pPr>
    </w:p>
    <w:p>
      <w:pPr>
        <w:jc w:val="both"/>
        <w:ind w:right="60" w:firstLine="627"/>
        <w:spacing w:after="0" w:line="264" w:lineRule="auto"/>
        <w:rPr>
          <w:sz w:val="20"/>
          <w:szCs w:val="20"/>
          <w:color w:val="auto"/>
        </w:rPr>
      </w:pPr>
      <w:r>
        <w:rPr>
          <w:rFonts w:ascii="Arial" w:cs="Arial" w:eastAsia="Arial" w:hAnsi="Arial"/>
          <w:sz w:val="17"/>
          <w:szCs w:val="17"/>
          <w:color w:val="auto"/>
        </w:rPr>
        <w:t>We receive a provisional ceding commission based on ceded written premiums. The $2,402,000 increase in provisional ceding commissions earned is primarily due to the increase in the quota share ceding rate effective December 15, 2019 to 25%, from the 10% rate in effect in Three Months 2019. There was an increase in ceded premiums in Three Months 2020 available from which to earn ceding commissions compared to Three Months 2019 due to the changes in quota share ceding rates and an increase in personal lines direct written premiums subject to the quota share.</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Contingent Ceding Commissions Earned</w:t>
      </w:r>
    </w:p>
    <w:p>
      <w:pPr>
        <w:spacing w:after="0" w:line="157" w:lineRule="exact"/>
        <w:rPr>
          <w:sz w:val="20"/>
          <w:szCs w:val="20"/>
          <w:color w:val="auto"/>
        </w:rPr>
      </w:pPr>
    </w:p>
    <w:p>
      <w:pPr>
        <w:jc w:val="both"/>
        <w:ind w:right="60" w:firstLine="627"/>
        <w:spacing w:after="0" w:line="262" w:lineRule="auto"/>
        <w:rPr>
          <w:sz w:val="20"/>
          <w:szCs w:val="20"/>
          <w:color w:val="auto"/>
        </w:rPr>
      </w:pPr>
      <w:r>
        <w:rPr>
          <w:rFonts w:ascii="Arial" w:cs="Arial" w:eastAsia="Arial" w:hAnsi="Arial"/>
          <w:sz w:val="17"/>
          <w:szCs w:val="17"/>
          <w:color w:val="auto"/>
        </w:rPr>
        <w:t>The 2019/2020 Treaty and 2017/2019 Treaty structure calls for a higher upfront provisional ceding commission and there is not an opportunity to earn additional contingent ceding commissions under these treaties. The amount of contingent ceding commissions we are eligible to receive under our prior years’ quota share treaties is subject to change based on losses incurred related to claims with accident dates before July 1, 2017. Under our prior years’ quota share treaties, we received a contingent ceding commission based on a sliding scale in relation to the losses incurred under our quota share treaties. The lower the ceded loss ratio, the more contingent commission we receive.</w:t>
      </w:r>
    </w:p>
    <w:p>
      <w:pPr>
        <w:spacing w:after="0" w:line="200" w:lineRule="exact"/>
        <w:rPr>
          <w:sz w:val="20"/>
          <w:szCs w:val="20"/>
          <w:color w:val="auto"/>
        </w:rPr>
      </w:pPr>
    </w:p>
    <w:p>
      <w:pPr>
        <w:spacing w:after="0" w:line="223"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300"/>
          </w:cols>
          <w:pgMar w:left="320" w:top="549" w:right="27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auto"/>
        </w:rPr>
        <w:t>Net Investment Income</w:t>
      </w:r>
    </w:p>
    <w:p>
      <w:pPr>
        <w:spacing w:after="0" w:line="157" w:lineRule="exact"/>
        <w:rPr>
          <w:sz w:val="20"/>
          <w:szCs w:val="20"/>
          <w:color w:val="auto"/>
        </w:rPr>
      </w:pPr>
    </w:p>
    <w:p>
      <w:pPr>
        <w:jc w:val="both"/>
        <w:ind w:firstLine="627"/>
        <w:spacing w:after="0" w:line="268" w:lineRule="auto"/>
        <w:rPr>
          <w:sz w:val="20"/>
          <w:szCs w:val="20"/>
          <w:color w:val="auto"/>
        </w:rPr>
      </w:pPr>
      <w:r>
        <w:rPr>
          <w:rFonts w:ascii="Arial" w:cs="Arial" w:eastAsia="Arial" w:hAnsi="Arial"/>
          <w:sz w:val="17"/>
          <w:szCs w:val="17"/>
          <w:color w:val="auto"/>
        </w:rPr>
        <w:t>Net investment income was $1,666,000 in Three Months 2020 compared to $1,624,000 in Three Months 2019, an increase of $42,000, or 2.6%. The average yield on invested assets was 3.77% as of March 31, 2020 compared to 3.67% as of March 31, 2019. The pre-tax equivalent yield on invested assets was 3.45% and 3.41% as of March 31, 2020 and 2019, respectively.</w:t>
      </w:r>
    </w:p>
    <w:p>
      <w:pPr>
        <w:spacing w:after="0" w:line="116"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color w:val="auto"/>
        </w:rPr>
        <w:t>Cash and invested assets were $201,649,000 as of March 31, 2020 compared to $201,878,000 as of March 31, 2019. The $229,000 decrease in cash and invested assets was due to various changes, the net of which are negligible.</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Gains and Losses on Investments</w:t>
      </w:r>
    </w:p>
    <w:p>
      <w:pPr>
        <w:spacing w:after="0" w:line="157"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Net losses on investments were $6,444,000 in Three Months 2020 compared to a net gain of $2,035,000 in Three Months 2019. Unrealized losses on our equity securities and other investments in Three Months 2020 were $6,719,000, compared to unrealized gains of $2,061,000 in Three Months 2019. Realized gains on sales of investments were $275,000 in Three Months 2020 compared to realized losses of $25,000 in Three Months 2019. Unrealized losses in Three Months 2020 were due to the market fluctuations related to the Covid-19 pandemic.</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Income</w:t>
      </w:r>
    </w:p>
    <w:p>
      <w:pPr>
        <w:spacing w:after="0" w:line="157"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color w:val="auto"/>
        </w:rPr>
        <w:t>Other income was $630,000 in Three Months 2020 compared to $366,000 in Three Months 2019. The increase of $264,000, or 72.1%, was primarily due to commission revenue from Cosi.</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Loss and LAE</w:t>
      </w:r>
    </w:p>
    <w:p>
      <w:pPr>
        <w:spacing w:after="0" w:line="157"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color w:val="auto"/>
        </w:rPr>
        <w:t>Net loss and LAE was $16,385,000 in Three Months 2020 compared to $29,134,000 in Three Months 2019. The net loss ratio was 60.8% in Three Months 2020 compared to 98.4% in Three Months 2019, an improvement of 37.6 percentage points.</w:t>
      </w:r>
    </w:p>
    <w:p>
      <w:pPr>
        <w:spacing w:after="0" w:line="170"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color w:val="auto"/>
        </w:rPr>
        <w:t>The following graph summarizes the changes in the components of net loss ratio for the periods indicated, along with the comparable components excluding commercial lines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1388745</wp:posOffset>
            </wp:positionH>
            <wp:positionV relativeFrom="paragraph">
              <wp:posOffset>113030</wp:posOffset>
            </wp:positionV>
            <wp:extent cx="4373245" cy="34607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373245" cy="3460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40"/>
        <w:spacing w:after="0"/>
        <w:rPr>
          <w:sz w:val="20"/>
          <w:szCs w:val="20"/>
          <w:color w:val="auto"/>
        </w:rPr>
      </w:pPr>
      <w:r>
        <w:rPr>
          <w:rFonts w:ascii="Arial" w:cs="Arial" w:eastAsia="Arial" w:hAnsi="Arial"/>
          <w:sz w:val="17"/>
          <w:szCs w:val="17"/>
          <w:i w:val="1"/>
          <w:iCs w:val="1"/>
          <w:color w:val="auto"/>
        </w:rPr>
        <w:t>(Components may not sum to totals due to rounding)</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3" w:name="page44"/>
    <w:bookmarkEnd w:id="43"/>
    <w:p>
      <w:pPr>
        <w:jc w:val="both"/>
        <w:ind w:firstLine="627"/>
        <w:spacing w:after="0" w:line="282" w:lineRule="auto"/>
        <w:rPr>
          <w:sz w:val="20"/>
          <w:szCs w:val="20"/>
          <w:color w:val="auto"/>
        </w:rPr>
      </w:pPr>
      <w:r>
        <w:rPr>
          <w:rFonts w:ascii="Arial" w:cs="Arial" w:eastAsia="Arial" w:hAnsi="Arial"/>
          <w:sz w:val="16"/>
          <w:szCs w:val="16"/>
          <w:color w:val="auto"/>
        </w:rPr>
        <w:t>During Three Months 2020, the loss ratio improved for three reasons. First, the Northeast winter season was relatively mild. There were no severe freeze events during Three Months 2020, in contrast to many of the last several years including Three Months 2019. There was one minor windstorm event classified as a catastrophe loss during the quarter, which contributed 0.7 points to the loss ratio. This is in contrast with the same period of 2019 when there were three winter weather events classified as catastrophes having a net impact of $5.1 million, or 17.1 points on the loss ratio. The 0.7 point catastrophe impact for Three Months 2020 is a decrease in the impact from catastrophes of 16.4 points compared to Three Months 2019.</w:t>
      </w:r>
    </w:p>
    <w:p>
      <w:pPr>
        <w:spacing w:after="0" w:line="174" w:lineRule="exact"/>
        <w:rPr>
          <w:sz w:val="20"/>
          <w:szCs w:val="20"/>
          <w:color w:val="auto"/>
        </w:rPr>
      </w:pPr>
    </w:p>
    <w:p>
      <w:pPr>
        <w:jc w:val="both"/>
        <w:ind w:firstLine="627"/>
        <w:spacing w:after="0" w:line="305" w:lineRule="auto"/>
        <w:rPr>
          <w:sz w:val="20"/>
          <w:szCs w:val="20"/>
          <w:color w:val="auto"/>
        </w:rPr>
      </w:pPr>
      <w:r>
        <w:rPr>
          <w:rFonts w:ascii="Arial" w:cs="Arial" w:eastAsia="Arial" w:hAnsi="Arial"/>
          <w:sz w:val="15"/>
          <w:szCs w:val="15"/>
          <w:color w:val="auto"/>
        </w:rPr>
        <w:t>The second major impact on the loss ratio was prior year loss development. For Three Months 2020, prior year loss development was favorable by $126,000, or a favorable impact of 0.5 points on the loss ratio. This compares to adverse prior year development of $4,478,000 during Three Months 2019, which had a 15.3 point unfavorable impact. The favorable 0.5 point impact in Three Months 2020 is a decrease of 15.8 points in the impact of prior year loss development. During Three Months 2020, we continued to observe overall favorable runoff of open liability claims where case reserves had been increased throughout 2019. This marked the second straight quarter of stable prior year loss development following the adjustments made through the first three quarters of 2019.</w:t>
      </w:r>
    </w:p>
    <w:p>
      <w:pPr>
        <w:spacing w:after="0" w:line="159" w:lineRule="exact"/>
        <w:rPr>
          <w:sz w:val="20"/>
          <w:szCs w:val="20"/>
          <w:color w:val="auto"/>
        </w:rPr>
      </w:pPr>
    </w:p>
    <w:p>
      <w:pPr>
        <w:jc w:val="both"/>
        <w:ind w:firstLine="627"/>
        <w:spacing w:after="0" w:line="262" w:lineRule="auto"/>
        <w:rPr>
          <w:sz w:val="20"/>
          <w:szCs w:val="20"/>
          <w:color w:val="auto"/>
        </w:rPr>
      </w:pPr>
      <w:r>
        <w:rPr>
          <w:rFonts w:ascii="Arial" w:cs="Arial" w:eastAsia="Arial" w:hAnsi="Arial"/>
          <w:sz w:val="17"/>
          <w:szCs w:val="17"/>
          <w:color w:val="auto"/>
        </w:rPr>
        <w:t>Finally, the underlying loss ratio (loss ratio excluding the impact of catastrophes and prior year development) was 60.6% for Three Months 2020, a decrease of 5.5 points from the 66.1% underlying loss ratio recorded for Three Months 2019. The underlying loss ratio decreased compared to Three Months 2019 due to a smaller impact from non-catastrophe winter claims, reduced claim frequency in personal lines and in the Auto Physical Damage program, and a shift in mix away from the high loss ratio commercial lines business which was placed into runoff starting in July 2019. Excluding commercial lines, the underlying loss ratio improved 6.2 points, from 63.3% for Three Months 2019 to 57.1% for Three Months 2020.</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See table below under “Additional Financial Information” summarizing net loss ratios by line of business.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Commission Expense</w:t>
      </w:r>
    </w:p>
    <w:p>
      <w:pPr>
        <w:spacing w:after="0" w:line="223" w:lineRule="exact"/>
        <w:rPr>
          <w:sz w:val="20"/>
          <w:szCs w:val="20"/>
          <w:color w:val="auto"/>
        </w:rPr>
      </w:pPr>
    </w:p>
    <w:p>
      <w:pPr>
        <w:jc w:val="both"/>
        <w:ind w:firstLine="627"/>
        <w:spacing w:after="0" w:line="268" w:lineRule="auto"/>
        <w:rPr>
          <w:sz w:val="20"/>
          <w:szCs w:val="20"/>
          <w:color w:val="auto"/>
        </w:rPr>
      </w:pPr>
      <w:r>
        <w:rPr>
          <w:rFonts w:ascii="Arial" w:cs="Arial" w:eastAsia="Arial" w:hAnsi="Arial"/>
          <w:sz w:val="17"/>
          <w:szCs w:val="17"/>
          <w:color w:val="auto"/>
        </w:rPr>
        <w:t>Commission expense was $7,899,000 in Three Months 2020 or 18.5% of direct earned premiums. Commission expense was $6,853,000 in Three Months 2019 or 18.6% of direct earned premiums. The increase of $1,046,000 is primarily due to the increase in direct earned premiums for Three Months 2020 as compared to Three Months 2019.</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Underwriting Expenses</w:t>
      </w:r>
    </w:p>
    <w:p>
      <w:pPr>
        <w:spacing w:after="0" w:line="157" w:lineRule="exact"/>
        <w:rPr>
          <w:sz w:val="20"/>
          <w:szCs w:val="20"/>
          <w:color w:val="auto"/>
        </w:rPr>
      </w:pPr>
    </w:p>
    <w:p>
      <w:pPr>
        <w:jc w:val="both"/>
        <w:ind w:firstLine="627"/>
        <w:spacing w:after="0" w:line="262" w:lineRule="auto"/>
        <w:rPr>
          <w:sz w:val="20"/>
          <w:szCs w:val="20"/>
          <w:color w:val="auto"/>
        </w:rPr>
      </w:pPr>
      <w:r>
        <w:rPr>
          <w:rFonts w:ascii="Arial" w:cs="Arial" w:eastAsia="Arial" w:hAnsi="Arial"/>
          <w:sz w:val="17"/>
          <w:szCs w:val="17"/>
          <w:color w:val="auto"/>
        </w:rPr>
        <w:t>Other underwriting expenses were $6,762,000 in Three Months 2020 compared to $6,136,000 in Three Months 2019. The increase of $626,000, or 10.2%, was primarily due to expenses related to growth in personal lines direct written premiums. Expenses directly related to the increase in personal lines direct written premiums primarily consist of underwriting expenses, software usage fees, and state premium taxes. Expenses indirectly related to the increase in personal lines direct written premiums primarily consist of salaries along with related other employment costs. The other underwriting expense increase of 10.2% was less than the 14.4% increase in personal lines direct written premiums.</w:t>
      </w:r>
    </w:p>
    <w:p>
      <w:pPr>
        <w:spacing w:after="0" w:line="122" w:lineRule="exact"/>
        <w:rPr>
          <w:sz w:val="20"/>
          <w:szCs w:val="20"/>
          <w:color w:val="auto"/>
        </w:rPr>
      </w:pPr>
    </w:p>
    <w:p>
      <w:pPr>
        <w:jc w:val="both"/>
        <w:ind w:firstLine="627"/>
        <w:spacing w:after="0" w:line="286" w:lineRule="auto"/>
        <w:rPr>
          <w:sz w:val="20"/>
          <w:szCs w:val="20"/>
          <w:color w:val="auto"/>
        </w:rPr>
      </w:pPr>
      <w:r>
        <w:rPr>
          <w:rFonts w:ascii="Arial" w:cs="Arial" w:eastAsia="Arial" w:hAnsi="Arial"/>
          <w:sz w:val="16"/>
          <w:szCs w:val="16"/>
          <w:color w:val="auto"/>
        </w:rPr>
        <w:t>Our largest single component of other underwriting expenses is salaries and employment costs, with costs of $2,740,000 in Three Months 2020 compared to $2,551,000 in Three Months 2019. The increase of $188,000, or 7.4%, was less than the 14.4% increase in personal lines direct written premiums. The increase in employment costs was attributable to the hiring of additional highly experienced management, offset by staff reductions from the elimination of commercial lines staff due to that line being in run-off since July 2019. There were no annual increases in salaries during Three Months 2020.</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4" w:name="page45"/>
    <w:bookmarkEnd w:id="44"/>
    <w:p>
      <w:pPr>
        <w:jc w:val="both"/>
        <w:ind w:firstLine="627"/>
        <w:spacing w:after="0" w:line="281" w:lineRule="auto"/>
        <w:rPr>
          <w:sz w:val="20"/>
          <w:szCs w:val="20"/>
          <w:color w:val="auto"/>
        </w:rPr>
      </w:pPr>
      <w:r>
        <w:rPr>
          <w:rFonts w:ascii="Arial" w:cs="Arial" w:eastAsia="Arial" w:hAnsi="Arial"/>
          <w:sz w:val="17"/>
          <w:szCs w:val="17"/>
          <w:color w:val="auto"/>
        </w:rPr>
        <w:t>Our net underwriting expense ratio in Three Months 2020 was 39.3% compared to 38.5% in Three Months 2019. The following table shows the individual components of our net underwriting expense ratio for the periods indicated: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40" w:type="dxa"/>
            <w:vAlign w:val="bottom"/>
          </w:tcPr>
          <w:p>
            <w:pPr>
              <w:spacing w:after="0"/>
              <w:rPr>
                <w:sz w:val="16"/>
                <w:szCs w:val="16"/>
                <w:color w:val="auto"/>
              </w:rPr>
            </w:pPr>
          </w:p>
        </w:tc>
        <w:tc>
          <w:tcPr>
            <w:tcW w:w="2080" w:type="dxa"/>
            <w:vAlign w:val="bottom"/>
            <w:gridSpan w:val="4"/>
          </w:tcPr>
          <w:p>
            <w:pPr>
              <w:jc w:val="center"/>
              <w:ind w:left="308"/>
              <w:spacing w:after="0"/>
              <w:rPr>
                <w:sz w:val="20"/>
                <w:szCs w:val="20"/>
                <w:color w:val="auto"/>
              </w:rPr>
            </w:pPr>
            <w:r>
              <w:rPr>
                <w:rFonts w:ascii="Arial" w:cs="Arial" w:eastAsia="Arial" w:hAnsi="Arial"/>
                <w:sz w:val="14"/>
                <w:szCs w:val="14"/>
                <w:b w:val="1"/>
                <w:bCs w:val="1"/>
                <w:color w:val="auto"/>
                <w:w w:val="91"/>
              </w:rPr>
              <w:t>Three months ended</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9"/>
        </w:trPr>
        <w:tc>
          <w:tcPr>
            <w:tcW w:w="734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center"/>
              <w:ind w:right="268"/>
              <w:spacing w:after="0"/>
              <w:rPr>
                <w:sz w:val="20"/>
                <w:szCs w:val="20"/>
                <w:color w:val="auto"/>
              </w:rPr>
            </w:pPr>
            <w:r>
              <w:rPr>
                <w:rFonts w:ascii="Arial" w:cs="Arial" w:eastAsia="Arial" w:hAnsi="Arial"/>
                <w:sz w:val="14"/>
                <w:szCs w:val="14"/>
                <w:b w:val="1"/>
                <w:bCs w:val="1"/>
                <w:color w:val="auto"/>
                <w:w w:val="95"/>
              </w:rPr>
              <w:t>March 31,</w:t>
            </w:r>
          </w:p>
        </w:tc>
        <w:tc>
          <w:tcPr>
            <w:tcW w:w="3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Percentage</w:t>
            </w:r>
          </w:p>
        </w:tc>
      </w:tr>
      <w:tr>
        <w:trPr>
          <w:trHeight w:val="215"/>
        </w:trPr>
        <w:tc>
          <w:tcPr>
            <w:tcW w:w="734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Point Change</w:t>
            </w:r>
          </w:p>
        </w:tc>
        <w:tc>
          <w:tcPr>
            <w:tcW w:w="120" w:type="dxa"/>
            <w:vAlign w:val="bottom"/>
          </w:tcPr>
          <w:p>
            <w:pPr>
              <w:spacing w:after="0"/>
              <w:rPr>
                <w:sz w:val="18"/>
                <w:szCs w:val="18"/>
                <w:color w:val="auto"/>
              </w:rPr>
            </w:pPr>
          </w:p>
        </w:tc>
      </w:tr>
      <w:tr>
        <w:trPr>
          <w:trHeight w:val="469"/>
        </w:trPr>
        <w:tc>
          <w:tcPr>
            <w:tcW w:w="8060" w:type="dxa"/>
            <w:vAlign w:val="bottom"/>
            <w:gridSpan w:val="2"/>
          </w:tcPr>
          <w:p>
            <w:pPr>
              <w:ind w:left="40"/>
              <w:spacing w:after="0"/>
              <w:rPr>
                <w:sz w:val="20"/>
                <w:szCs w:val="20"/>
                <w:color w:val="auto"/>
              </w:rPr>
            </w:pPr>
            <w:r>
              <w:rPr>
                <w:rFonts w:ascii="Arial" w:cs="Arial" w:eastAsia="Arial" w:hAnsi="Arial"/>
                <w:sz w:val="17"/>
                <w:szCs w:val="17"/>
                <w:color w:val="auto"/>
              </w:rPr>
              <w:t>Other underwriting expenses</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0"/>
        </w:trPr>
        <w:tc>
          <w:tcPr>
            <w:tcW w:w="80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Employment costs</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9"/>
              </w:rPr>
              <w:t>10.2%</w:t>
            </w:r>
          </w:p>
        </w:tc>
        <w:tc>
          <w:tcPr>
            <w:tcW w:w="7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8.6%</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20" w:type="dxa"/>
            <w:vAlign w:val="bottom"/>
            <w:shd w:val="clear" w:color="auto" w:fill="CCEEFF"/>
          </w:tcPr>
          <w:p>
            <w:pPr>
              <w:spacing w:after="0"/>
              <w:rPr>
                <w:sz w:val="18"/>
                <w:szCs w:val="18"/>
                <w:color w:val="auto"/>
              </w:rPr>
            </w:pPr>
          </w:p>
        </w:tc>
      </w:tr>
      <w:tr>
        <w:trPr>
          <w:trHeight w:val="209"/>
        </w:trPr>
        <w:tc>
          <w:tcPr>
            <w:tcW w:w="8060" w:type="dxa"/>
            <w:vAlign w:val="bottom"/>
            <w:gridSpan w:val="2"/>
          </w:tcPr>
          <w:p>
            <w:pPr>
              <w:ind w:left="160"/>
              <w:spacing w:after="0"/>
              <w:rPr>
                <w:sz w:val="20"/>
                <w:szCs w:val="20"/>
                <w:color w:val="auto"/>
              </w:rPr>
            </w:pPr>
            <w:r>
              <w:rPr>
                <w:rFonts w:ascii="Arial" w:cs="Arial" w:eastAsia="Arial" w:hAnsi="Arial"/>
                <w:sz w:val="17"/>
                <w:szCs w:val="17"/>
                <w:color w:val="auto"/>
              </w:rPr>
              <w:t>Underwriting fees (inspections/data services)</w:t>
            </w:r>
          </w:p>
        </w:tc>
        <w:tc>
          <w:tcPr>
            <w:tcW w:w="360" w:type="dxa"/>
            <w:vAlign w:val="bottom"/>
          </w:tcPr>
          <w:p>
            <w:pPr>
              <w:jc w:val="right"/>
              <w:spacing w:after="0"/>
              <w:rPr>
                <w:sz w:val="20"/>
                <w:szCs w:val="20"/>
                <w:color w:val="auto"/>
              </w:rPr>
            </w:pPr>
            <w:r>
              <w:rPr>
                <w:rFonts w:ascii="Arial" w:cs="Arial" w:eastAsia="Arial" w:hAnsi="Arial"/>
                <w:sz w:val="17"/>
                <w:szCs w:val="17"/>
                <w:color w:val="auto"/>
              </w:rPr>
              <w:t>3.1</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2.5</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0.6</w:t>
            </w:r>
          </w:p>
        </w:tc>
        <w:tc>
          <w:tcPr>
            <w:tcW w:w="120" w:type="dxa"/>
            <w:vAlign w:val="bottom"/>
          </w:tcPr>
          <w:p>
            <w:pPr>
              <w:spacing w:after="0"/>
              <w:rPr>
                <w:sz w:val="18"/>
                <w:szCs w:val="18"/>
                <w:color w:val="auto"/>
              </w:rPr>
            </w:pPr>
          </w:p>
        </w:tc>
      </w:tr>
      <w:tr>
        <w:trPr>
          <w:trHeight w:val="215"/>
        </w:trPr>
        <w:tc>
          <w:tcPr>
            <w:tcW w:w="73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Other expenses</w:t>
            </w:r>
          </w:p>
        </w:tc>
        <w:tc>
          <w:tcPr>
            <w:tcW w:w="72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2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15"/>
        </w:trPr>
        <w:tc>
          <w:tcPr>
            <w:tcW w:w="8060" w:type="dxa"/>
            <w:vAlign w:val="bottom"/>
            <w:gridSpan w:val="2"/>
          </w:tcPr>
          <w:p>
            <w:pPr>
              <w:ind w:left="160"/>
              <w:spacing w:after="0"/>
              <w:rPr>
                <w:sz w:val="20"/>
                <w:szCs w:val="20"/>
                <w:color w:val="auto"/>
              </w:rPr>
            </w:pPr>
            <w:r>
              <w:rPr>
                <w:rFonts w:ascii="Arial" w:cs="Arial" w:eastAsia="Arial" w:hAnsi="Arial"/>
                <w:sz w:val="17"/>
                <w:szCs w:val="17"/>
                <w:color w:val="auto"/>
              </w:rPr>
              <w:t>Total other underwriting expenses</w:t>
            </w:r>
          </w:p>
        </w:tc>
        <w:tc>
          <w:tcPr>
            <w:tcW w:w="360" w:type="dxa"/>
            <w:vAlign w:val="bottom"/>
          </w:tcPr>
          <w:p>
            <w:pPr>
              <w:jc w:val="right"/>
              <w:spacing w:after="0"/>
              <w:rPr>
                <w:sz w:val="20"/>
                <w:szCs w:val="20"/>
                <w:color w:val="auto"/>
              </w:rPr>
            </w:pPr>
            <w:r>
              <w:rPr>
                <w:rFonts w:ascii="Arial" w:cs="Arial" w:eastAsia="Arial" w:hAnsi="Arial"/>
                <w:sz w:val="17"/>
                <w:szCs w:val="17"/>
                <w:color w:val="auto"/>
              </w:rPr>
              <w:t>25.1</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w w:val="96"/>
              </w:rPr>
              <w:t>20.8</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4.3</w:t>
            </w:r>
          </w:p>
        </w:tc>
        <w:tc>
          <w:tcPr>
            <w:tcW w:w="120" w:type="dxa"/>
            <w:vAlign w:val="bottom"/>
          </w:tcPr>
          <w:p>
            <w:pPr>
              <w:spacing w:after="0"/>
              <w:rPr>
                <w:sz w:val="18"/>
                <w:szCs w:val="18"/>
                <w:color w:val="auto"/>
              </w:rPr>
            </w:pPr>
          </w:p>
        </w:tc>
      </w:tr>
      <w:tr>
        <w:trPr>
          <w:trHeight w:val="209"/>
        </w:trPr>
        <w:tc>
          <w:tcPr>
            <w:tcW w:w="734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9"/>
        </w:trPr>
        <w:tc>
          <w:tcPr>
            <w:tcW w:w="8060" w:type="dxa"/>
            <w:vAlign w:val="bottom"/>
            <w:gridSpan w:val="2"/>
          </w:tcPr>
          <w:p>
            <w:pPr>
              <w:spacing w:after="0"/>
              <w:rPr>
                <w:sz w:val="20"/>
                <w:szCs w:val="20"/>
                <w:color w:val="auto"/>
              </w:rPr>
            </w:pPr>
            <w:r>
              <w:rPr>
                <w:rFonts w:ascii="Arial" w:cs="Arial" w:eastAsia="Arial" w:hAnsi="Arial"/>
                <w:sz w:val="17"/>
                <w:szCs w:val="17"/>
                <w:color w:val="auto"/>
              </w:rPr>
              <w:t>Ceding commission revenue</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80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Provisional</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9"/>
              </w:rPr>
              <w:t>(13.8)</w:t>
            </w:r>
          </w:p>
        </w:tc>
        <w:tc>
          <w:tcPr>
            <w:tcW w:w="7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(9.3)</w:t>
            </w:r>
          </w:p>
        </w:tc>
      </w:tr>
      <w:tr>
        <w:trPr>
          <w:trHeight w:val="209"/>
        </w:trPr>
        <w:tc>
          <w:tcPr>
            <w:tcW w:w="7340" w:type="dxa"/>
            <w:vAlign w:val="bottom"/>
          </w:tcPr>
          <w:p>
            <w:pPr>
              <w:ind w:left="160"/>
              <w:spacing w:after="0"/>
              <w:rPr>
                <w:sz w:val="20"/>
                <w:szCs w:val="20"/>
                <w:color w:val="auto"/>
              </w:rPr>
            </w:pPr>
            <w:r>
              <w:rPr>
                <w:rFonts w:ascii="Arial" w:cs="Arial" w:eastAsia="Arial" w:hAnsi="Arial"/>
                <w:sz w:val="17"/>
                <w:szCs w:val="17"/>
                <w:color w:val="auto"/>
              </w:rPr>
              <w:t>Contingent</w:t>
            </w:r>
          </w:p>
        </w:tc>
        <w:tc>
          <w:tcPr>
            <w:tcW w:w="7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7"/>
                <w:szCs w:val="17"/>
                <w:color w:val="auto"/>
              </w:rPr>
              <w:t>(0.4)</w:t>
            </w:r>
          </w:p>
        </w:tc>
        <w:tc>
          <w:tcPr>
            <w:tcW w:w="7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0.1</w:t>
            </w:r>
          </w:p>
        </w:tc>
        <w:tc>
          <w:tcPr>
            <w:tcW w:w="2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(0.5)</w:t>
            </w:r>
          </w:p>
        </w:tc>
      </w:tr>
      <w:tr>
        <w:trPr>
          <w:trHeight w:val="26"/>
        </w:trPr>
        <w:tc>
          <w:tcPr>
            <w:tcW w:w="7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5"/>
        </w:trPr>
        <w:tc>
          <w:tcPr>
            <w:tcW w:w="73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 ceding commission revenue</w:t>
            </w:r>
          </w:p>
        </w:tc>
        <w:tc>
          <w:tcPr>
            <w:tcW w:w="7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89"/>
              </w:rPr>
              <w:t>(14.2)</w:t>
            </w:r>
          </w:p>
        </w:tc>
        <w:tc>
          <w:tcPr>
            <w:tcW w:w="7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(4.4)</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(9.8)</w:t>
            </w:r>
          </w:p>
        </w:tc>
      </w:tr>
      <w:tr>
        <w:trPr>
          <w:trHeight w:val="209"/>
        </w:trPr>
        <w:tc>
          <w:tcPr>
            <w:tcW w:w="7340" w:type="dxa"/>
            <w:vAlign w:val="bottom"/>
            <w:tcBorders>
              <w:top w:val="single" w:sz="8" w:color="CCEEFF"/>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r>
      <w:tr>
        <w:trPr>
          <w:trHeight w:val="209"/>
        </w:trPr>
        <w:tc>
          <w:tcPr>
            <w:tcW w:w="8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income</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(0.9)</w:t>
            </w:r>
          </w:p>
        </w:tc>
        <w:tc>
          <w:tcPr>
            <w:tcW w:w="7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20" w:type="dxa"/>
            <w:vAlign w:val="bottom"/>
            <w:shd w:val="clear" w:color="auto" w:fill="CCEEFF"/>
          </w:tcPr>
          <w:p>
            <w:pPr>
              <w:spacing w:after="0"/>
              <w:rPr>
                <w:sz w:val="18"/>
                <w:szCs w:val="18"/>
                <w:color w:val="auto"/>
              </w:rPr>
            </w:pPr>
          </w:p>
        </w:tc>
      </w:tr>
      <w:tr>
        <w:trPr>
          <w:trHeight w:val="215"/>
        </w:trPr>
        <w:tc>
          <w:tcPr>
            <w:tcW w:w="8060" w:type="dxa"/>
            <w:vAlign w:val="bottom"/>
            <w:gridSpan w:val="2"/>
          </w:tcPr>
          <w:p>
            <w:pPr>
              <w:spacing w:after="0"/>
              <w:rPr>
                <w:sz w:val="20"/>
                <w:szCs w:val="20"/>
                <w:color w:val="auto"/>
              </w:rPr>
            </w:pPr>
            <w:r>
              <w:rPr>
                <w:rFonts w:ascii="Arial" w:cs="Arial" w:eastAsia="Arial" w:hAnsi="Arial"/>
                <w:sz w:val="17"/>
                <w:szCs w:val="17"/>
                <w:color w:val="auto"/>
              </w:rPr>
              <w:t>Commission expense</w:t>
            </w:r>
          </w:p>
        </w:tc>
        <w:tc>
          <w:tcPr>
            <w:tcW w:w="360" w:type="dxa"/>
            <w:vAlign w:val="bottom"/>
          </w:tcPr>
          <w:p>
            <w:pPr>
              <w:jc w:val="right"/>
              <w:spacing w:after="0"/>
              <w:rPr>
                <w:sz w:val="20"/>
                <w:szCs w:val="20"/>
                <w:color w:val="auto"/>
              </w:rPr>
            </w:pPr>
            <w:r>
              <w:rPr>
                <w:rFonts w:ascii="Arial" w:cs="Arial" w:eastAsia="Arial" w:hAnsi="Arial"/>
                <w:sz w:val="17"/>
                <w:szCs w:val="17"/>
                <w:color w:val="auto"/>
              </w:rPr>
              <w:t>29.3</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w w:val="96"/>
              </w:rPr>
              <w:t>23.2</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6.1</w:t>
            </w:r>
          </w:p>
        </w:tc>
        <w:tc>
          <w:tcPr>
            <w:tcW w:w="120" w:type="dxa"/>
            <w:vAlign w:val="bottom"/>
          </w:tcPr>
          <w:p>
            <w:pPr>
              <w:spacing w:after="0"/>
              <w:rPr>
                <w:sz w:val="18"/>
                <w:szCs w:val="18"/>
                <w:color w:val="auto"/>
              </w:rPr>
            </w:pPr>
          </w:p>
        </w:tc>
      </w:tr>
      <w:tr>
        <w:trPr>
          <w:trHeight w:val="209"/>
        </w:trPr>
        <w:tc>
          <w:tcPr>
            <w:tcW w:w="734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9"/>
        </w:trPr>
        <w:tc>
          <w:tcPr>
            <w:tcW w:w="8060" w:type="dxa"/>
            <w:vAlign w:val="bottom"/>
            <w:gridSpan w:val="2"/>
          </w:tcPr>
          <w:p>
            <w:pPr>
              <w:spacing w:after="0"/>
              <w:rPr>
                <w:sz w:val="20"/>
                <w:szCs w:val="20"/>
                <w:color w:val="auto"/>
              </w:rPr>
            </w:pPr>
            <w:r>
              <w:rPr>
                <w:rFonts w:ascii="Arial" w:cs="Arial" w:eastAsia="Arial" w:hAnsi="Arial"/>
                <w:sz w:val="17"/>
                <w:szCs w:val="17"/>
                <w:color w:val="auto"/>
              </w:rPr>
              <w:t>Net underwriting expense ratio</w:t>
            </w:r>
          </w:p>
        </w:tc>
        <w:tc>
          <w:tcPr>
            <w:tcW w:w="620" w:type="dxa"/>
            <w:vAlign w:val="bottom"/>
            <w:gridSpan w:val="2"/>
          </w:tcPr>
          <w:p>
            <w:pPr>
              <w:jc w:val="right"/>
              <w:ind w:right="120"/>
              <w:spacing w:after="0"/>
              <w:rPr>
                <w:sz w:val="20"/>
                <w:szCs w:val="20"/>
                <w:color w:val="auto"/>
              </w:rPr>
            </w:pPr>
            <w:r>
              <w:rPr>
                <w:rFonts w:ascii="Arial" w:cs="Arial" w:eastAsia="Arial" w:hAnsi="Arial"/>
                <w:sz w:val="17"/>
                <w:szCs w:val="17"/>
                <w:color w:val="auto"/>
                <w:w w:val="99"/>
              </w:rPr>
              <w:t>39.3%</w:t>
            </w:r>
          </w:p>
        </w:tc>
        <w:tc>
          <w:tcPr>
            <w:tcW w:w="74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7"/>
                <w:szCs w:val="17"/>
                <w:color w:val="auto"/>
                <w:w w:val="95"/>
              </w:rPr>
              <w:t>38.5%</w:t>
            </w:r>
          </w:p>
        </w:tc>
        <w:tc>
          <w:tcPr>
            <w:tcW w:w="1100" w:type="dxa"/>
            <w:vAlign w:val="bottom"/>
          </w:tcPr>
          <w:p>
            <w:pPr>
              <w:jc w:val="right"/>
              <w:spacing w:after="0"/>
              <w:rPr>
                <w:sz w:val="20"/>
                <w:szCs w:val="20"/>
                <w:color w:val="auto"/>
              </w:rPr>
            </w:pPr>
            <w:r>
              <w:rPr>
                <w:rFonts w:ascii="Arial" w:cs="Arial" w:eastAsia="Arial" w:hAnsi="Arial"/>
                <w:sz w:val="17"/>
                <w:szCs w:val="17"/>
                <w:color w:val="auto"/>
              </w:rPr>
              <w:t>0.8</w:t>
            </w:r>
          </w:p>
        </w:tc>
        <w:tc>
          <w:tcPr>
            <w:tcW w:w="120" w:type="dxa"/>
            <w:vAlign w:val="bottom"/>
          </w:tcPr>
          <w:p>
            <w:pPr>
              <w:spacing w:after="0"/>
              <w:rPr>
                <w:sz w:val="18"/>
                <w:szCs w:val="18"/>
                <w:color w:val="auto"/>
              </w:rPr>
            </w:pPr>
          </w:p>
        </w:tc>
      </w:tr>
      <w:tr>
        <w:trPr>
          <w:trHeight w:val="20"/>
        </w:trPr>
        <w:tc>
          <w:tcPr>
            <w:tcW w:w="7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7" w:lineRule="exact"/>
        <w:rPr>
          <w:sz w:val="20"/>
          <w:szCs w:val="20"/>
          <w:color w:val="auto"/>
        </w:rPr>
      </w:pPr>
    </w:p>
    <w:p>
      <w:pPr>
        <w:jc w:val="both"/>
        <w:ind w:firstLine="627"/>
        <w:spacing w:after="0" w:line="262" w:lineRule="auto"/>
        <w:rPr>
          <w:sz w:val="20"/>
          <w:szCs w:val="20"/>
          <w:color w:val="auto"/>
        </w:rPr>
      </w:pPr>
      <w:r>
        <w:rPr>
          <w:rFonts w:ascii="Arial" w:cs="Arial" w:eastAsia="Arial" w:hAnsi="Arial"/>
          <w:sz w:val="17"/>
          <w:szCs w:val="17"/>
          <w:color w:val="auto"/>
        </w:rPr>
        <w:t>The overall 9.3 percentage point increase in the benefit from provisional ceding commissions was driven entirely by the change in our quota share ceding rates and its impact on provisional ceding commission revenue due to less retention beginning with the inception of the 2019/2020 Treaty on December 15, 2019, resulting in an increase in provisional ceding commissions. The components of our net underwriting expense ratio related to other underwriting expenses, other income and commissions increased in all categories due to less retention beginning with the inception of 2019/2020 Treaty on December 15, 2019, resulting in an overall 0.8 percentage point increase in the net underwriting expense ratio.</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Other Operating Expenses</w:t>
      </w:r>
    </w:p>
    <w:p>
      <w:pPr>
        <w:spacing w:after="0" w:line="157"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Other operating expenses, related to the expenses of our holding company and Cosi, were $1,563,000 for Three Months 2020 compared to $972,000 for Three Months 2019. The increase in Three Months 2020 of $591,000, or 60.8%, as compared to Three Months 2019 was primarily due to increases in equity compensation, commissions incurred by Cosi and professional fees. The increase in equity compensation was due to an annual restricted stock award pursuant to the employment agreement with Barry B. Goldstein, our Chief Executive Officer.</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Depreciation and Amortization</w:t>
      </w:r>
    </w:p>
    <w:p>
      <w:pPr>
        <w:spacing w:after="0" w:line="157" w:lineRule="exact"/>
        <w:rPr>
          <w:sz w:val="20"/>
          <w:szCs w:val="20"/>
          <w:color w:val="auto"/>
        </w:rPr>
      </w:pPr>
    </w:p>
    <w:p>
      <w:pPr>
        <w:jc w:val="both"/>
        <w:ind w:firstLine="627"/>
        <w:spacing w:after="0" w:line="293" w:lineRule="auto"/>
        <w:rPr>
          <w:sz w:val="20"/>
          <w:szCs w:val="20"/>
          <w:color w:val="auto"/>
        </w:rPr>
      </w:pPr>
      <w:r>
        <w:rPr>
          <w:rFonts w:ascii="Arial" w:cs="Arial" w:eastAsia="Arial" w:hAnsi="Arial"/>
          <w:sz w:val="16"/>
          <w:szCs w:val="16"/>
          <w:color w:val="auto"/>
        </w:rPr>
        <w:t>Depreciation and amortization was $687,000 in Three Months 2020 compared to $602,000 in Three Months 2019. The increase of $85,000, or 14.1%, in depreciation and amortization was primarily due to depreciation of our new systems platform for handling business being written in Expansion states, newly purchased assets used to upgrade our systems infrastructure and improvements to the Kingston, New York home office building from which we operate.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45" w:name="page46"/>
    <w:bookmarkEnd w:id="45"/>
    <w:p>
      <w:pPr>
        <w:spacing w:after="0"/>
        <w:rPr>
          <w:sz w:val="20"/>
          <w:szCs w:val="20"/>
          <w:color w:val="auto"/>
        </w:rPr>
      </w:pPr>
      <w:r>
        <w:rPr>
          <w:rFonts w:ascii="Arial" w:cs="Arial" w:eastAsia="Arial" w:hAnsi="Arial"/>
          <w:sz w:val="17"/>
          <w:szCs w:val="17"/>
          <w:u w:val="single" w:color="auto"/>
          <w:color w:val="auto"/>
        </w:rPr>
        <w:t>Interest Expense</w:t>
      </w:r>
    </w:p>
    <w:p>
      <w:pPr>
        <w:spacing w:after="0" w:line="157" w:lineRule="exact"/>
        <w:rPr>
          <w:sz w:val="20"/>
          <w:szCs w:val="20"/>
          <w:color w:val="auto"/>
        </w:rPr>
      </w:pPr>
    </w:p>
    <w:p>
      <w:pPr>
        <w:jc w:val="both"/>
        <w:ind w:right="20" w:firstLine="627"/>
        <w:spacing w:after="0" w:line="281" w:lineRule="auto"/>
        <w:rPr>
          <w:sz w:val="20"/>
          <w:szCs w:val="20"/>
          <w:color w:val="auto"/>
        </w:rPr>
      </w:pPr>
      <w:r>
        <w:rPr>
          <w:rFonts w:ascii="Arial" w:cs="Arial" w:eastAsia="Arial" w:hAnsi="Arial"/>
          <w:sz w:val="17"/>
          <w:szCs w:val="17"/>
          <w:color w:val="auto"/>
        </w:rPr>
        <w:t>Interest expense was $457,000 for both Three Months 2020 and Three Months 2019. We incurred interest expense in connection with our $30.0 million issuance of long-term debt in December 2017.</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Income Tax Benefit</w:t>
      </w:r>
    </w:p>
    <w:p>
      <w:pPr>
        <w:spacing w:after="0" w:line="157" w:lineRule="exact"/>
        <w:rPr>
          <w:sz w:val="20"/>
          <w:szCs w:val="20"/>
          <w:color w:val="auto"/>
        </w:rPr>
      </w:pPr>
    </w:p>
    <w:p>
      <w:pPr>
        <w:jc w:val="both"/>
        <w:ind w:right="20" w:firstLine="627"/>
        <w:spacing w:after="0" w:line="282" w:lineRule="auto"/>
        <w:rPr>
          <w:sz w:val="20"/>
          <w:szCs w:val="20"/>
          <w:color w:val="auto"/>
        </w:rPr>
      </w:pPr>
      <w:r>
        <w:rPr>
          <w:rFonts w:ascii="Arial" w:cs="Arial" w:eastAsia="Arial" w:hAnsi="Arial"/>
          <w:sz w:val="16"/>
          <w:szCs w:val="16"/>
          <w:color w:val="auto"/>
        </w:rPr>
        <w:t>Income tax benefit in Three Months 2020 was $1,686,000, which resulted in an effective tax benefit rate of 23.6%. Income tax benefit in Three Months 2019 was $1,920,000, which resulted in an effective tax benefit rate of 20.7%. Loss before taxes was $7,129,000 in Three Months 2020 compared to loss before taxes of $9,255,000 in Three Months 2019. On March 27, 2020, the Coronavirus Aid, Relief, and Economic Security (CARES) Act was signed into law, allowing for a five year carryback of 2019 NOL’s. We will elect on our 2019 federal income tax return to carry back the 2019 NOL of $7,222,000 to tax years 2014 and 2015. The corporate tax rate in 2014 and 2015 was 34%, compared to the corporate tax rate of 21% in 2019.</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Net Loss</w:t>
      </w:r>
    </w:p>
    <w:p>
      <w:pPr>
        <w:spacing w:after="0" w:line="157" w:lineRule="exact"/>
        <w:rPr>
          <w:sz w:val="20"/>
          <w:szCs w:val="20"/>
          <w:color w:val="auto"/>
        </w:rPr>
      </w:pPr>
    </w:p>
    <w:p>
      <w:pPr>
        <w:jc w:val="both"/>
        <w:ind w:right="20" w:firstLine="627"/>
        <w:spacing w:after="0" w:line="320" w:lineRule="auto"/>
        <w:rPr>
          <w:sz w:val="20"/>
          <w:szCs w:val="20"/>
          <w:color w:val="auto"/>
        </w:rPr>
      </w:pPr>
      <w:r>
        <w:rPr>
          <w:rFonts w:ascii="Arial" w:cs="Arial" w:eastAsia="Arial" w:hAnsi="Arial"/>
          <w:sz w:val="15"/>
          <w:szCs w:val="15"/>
          <w:color w:val="auto"/>
        </w:rPr>
        <w:t>Net loss was $5,443,000 in Three Months 2020 compared to net loss of $7,335,000 in Three Months 2019. The decrease in net loss of $1,892,000 was due to the circumstances described above, which caused the decrease in our net loss ratio, increase in ceding commission revenue and other income, partially offset by the decrease in our net premiums earned, and increases in net losses on investments, other underwriting and operating expenses, and depreciation and amortization.</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Financial Information</w:t>
      </w:r>
    </w:p>
    <w:p>
      <w:pPr>
        <w:spacing w:after="0" w:line="161" w:lineRule="exact"/>
        <w:rPr>
          <w:sz w:val="20"/>
          <w:szCs w:val="20"/>
          <w:color w:val="auto"/>
        </w:rPr>
      </w:pPr>
    </w:p>
    <w:p>
      <w:pPr>
        <w:jc w:val="both"/>
        <w:ind w:right="20" w:firstLine="627"/>
        <w:spacing w:after="0" w:line="268" w:lineRule="auto"/>
        <w:rPr>
          <w:sz w:val="20"/>
          <w:szCs w:val="20"/>
          <w:color w:val="auto"/>
        </w:rPr>
      </w:pPr>
      <w:r>
        <w:rPr>
          <w:rFonts w:ascii="Arial" w:cs="Arial" w:eastAsia="Arial" w:hAnsi="Arial"/>
          <w:sz w:val="17"/>
          <w:szCs w:val="17"/>
          <w:color w:val="auto"/>
        </w:rPr>
        <w:t>We operate our business as one segment, property and casualty insurance. Within this segment, we offer an array of property and casualty policies to our producers. The following table summarizes gross and net written premiums, net premiums earned, and net loss and loss adjustment expenses by major product type, which were determined based primarily on similar economic characteristics and risks of loss.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r>
      <w:tr>
        <w:trPr>
          <w:trHeight w:val="199"/>
        </w:trPr>
        <w:tc>
          <w:tcPr>
            <w:tcW w:w="86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15"/>
        </w:trPr>
        <w:tc>
          <w:tcPr>
            <w:tcW w:w="86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8"/>
                <w:szCs w:val="18"/>
                <w:color w:val="auto"/>
              </w:rPr>
            </w:pPr>
          </w:p>
        </w:tc>
      </w:tr>
      <w:tr>
        <w:trPr>
          <w:trHeight w:val="234"/>
        </w:trPr>
        <w:tc>
          <w:tcPr>
            <w:tcW w:w="8680" w:type="dxa"/>
            <w:vAlign w:val="bottom"/>
          </w:tcPr>
          <w:p>
            <w:pPr>
              <w:ind w:left="40"/>
              <w:spacing w:after="0"/>
              <w:rPr>
                <w:sz w:val="20"/>
                <w:szCs w:val="20"/>
                <w:color w:val="auto"/>
              </w:rPr>
            </w:pPr>
            <w:r>
              <w:rPr>
                <w:rFonts w:ascii="Arial" w:cs="Arial" w:eastAsia="Arial" w:hAnsi="Arial"/>
                <w:sz w:val="17"/>
                <w:szCs w:val="17"/>
                <w:b w:val="1"/>
                <w:bCs w:val="1"/>
                <w:color w:val="auto"/>
              </w:rPr>
              <w:t>Gross premiums written:</w:t>
            </w: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8680" w:type="dxa"/>
            <w:vAlign w:val="bottom"/>
            <w:shd w:val="clear" w:color="auto" w:fill="CCEEFF"/>
          </w:tcPr>
          <w:p>
            <w:pPr>
              <w:ind w:left="40"/>
              <w:spacing w:after="0"/>
              <w:rPr>
                <w:sz w:val="20"/>
                <w:szCs w:val="20"/>
                <w:color w:val="auto"/>
              </w:rPr>
            </w:pPr>
            <w:r>
              <w:rPr>
                <w:rFonts w:ascii="Arial" w:cs="Arial" w:eastAsia="Arial" w:hAnsi="Arial"/>
                <w:sz w:val="17"/>
                <w:szCs w:val="17"/>
                <w:color w:val="auto"/>
              </w:rPr>
              <w:t>Personal lines</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34,434,836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30,098,969</w:t>
            </w:r>
          </w:p>
        </w:tc>
        <w:tc>
          <w:tcPr>
            <w:tcW w:w="120" w:type="dxa"/>
            <w:vAlign w:val="bottom"/>
            <w:shd w:val="clear" w:color="auto" w:fill="CCEEFF"/>
          </w:tcPr>
          <w:p>
            <w:pPr>
              <w:spacing w:after="0"/>
              <w:rPr>
                <w:sz w:val="18"/>
                <w:szCs w:val="18"/>
                <w:color w:val="auto"/>
              </w:rPr>
            </w:pPr>
          </w:p>
        </w:tc>
      </w:tr>
      <w:tr>
        <w:trPr>
          <w:trHeight w:val="209"/>
        </w:trPr>
        <w:tc>
          <w:tcPr>
            <w:tcW w:w="8680" w:type="dxa"/>
            <w:vAlign w:val="bottom"/>
          </w:tcPr>
          <w:p>
            <w:pPr>
              <w:ind w:left="40"/>
              <w:spacing w:after="0"/>
              <w:rPr>
                <w:sz w:val="20"/>
                <w:szCs w:val="20"/>
                <w:color w:val="auto"/>
              </w:rPr>
            </w:pPr>
            <w:r>
              <w:rPr>
                <w:rFonts w:ascii="Arial" w:cs="Arial" w:eastAsia="Arial" w:hAnsi="Arial"/>
                <w:sz w:val="17"/>
                <w:szCs w:val="17"/>
                <w:color w:val="auto"/>
              </w:rPr>
              <w:t>Livery physical damage</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2,314,401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2,730,086</w:t>
            </w:r>
          </w:p>
        </w:tc>
        <w:tc>
          <w:tcPr>
            <w:tcW w:w="120" w:type="dxa"/>
            <w:vAlign w:val="bottom"/>
          </w:tcPr>
          <w:p>
            <w:pPr>
              <w:spacing w:after="0"/>
              <w:rPr>
                <w:sz w:val="18"/>
                <w:szCs w:val="18"/>
                <w:color w:val="auto"/>
              </w:rPr>
            </w:pPr>
          </w:p>
        </w:tc>
      </w:tr>
      <w:tr>
        <w:trPr>
          <w:trHeight w:val="215"/>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Other(1)</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74,855</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73,071</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8680" w:type="dxa"/>
            <w:vAlign w:val="bottom"/>
          </w:tcPr>
          <w:p>
            <w:pPr>
              <w:ind w:left="200"/>
              <w:spacing w:after="0"/>
              <w:rPr>
                <w:sz w:val="20"/>
                <w:szCs w:val="20"/>
                <w:color w:val="auto"/>
              </w:rPr>
            </w:pPr>
            <w:r>
              <w:rPr>
                <w:rFonts w:ascii="Arial" w:cs="Arial" w:eastAsia="Arial" w:hAnsi="Arial"/>
                <w:sz w:val="17"/>
                <w:szCs w:val="17"/>
                <w:color w:val="auto"/>
              </w:rPr>
              <w:t>Total without commercial lines</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36,824,092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3"/>
              </w:rPr>
              <w:t>32,902,126</w:t>
            </w:r>
          </w:p>
        </w:tc>
        <w:tc>
          <w:tcPr>
            <w:tcW w:w="120" w:type="dxa"/>
            <w:vAlign w:val="bottom"/>
          </w:tcPr>
          <w:p>
            <w:pPr>
              <w:spacing w:after="0"/>
              <w:rPr>
                <w:sz w:val="18"/>
                <w:szCs w:val="18"/>
                <w:color w:val="auto"/>
              </w:rPr>
            </w:pPr>
          </w:p>
        </w:tc>
      </w:tr>
      <w:tr>
        <w:trPr>
          <w:trHeight w:val="215"/>
        </w:trPr>
        <w:tc>
          <w:tcPr>
            <w:tcW w:w="868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Commercial lines (in run-off effective July 2019)(2)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(127,163)</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4,586,388</w:t>
            </w:r>
          </w:p>
        </w:tc>
        <w:tc>
          <w:tcPr>
            <w:tcW w:w="120" w:type="dxa"/>
            <w:vAlign w:val="bottom"/>
            <w:shd w:val="clear" w:color="auto" w:fill="CCEEFF"/>
          </w:tcPr>
          <w:p>
            <w:pPr>
              <w:spacing w:after="0"/>
              <w:rPr>
                <w:sz w:val="18"/>
                <w:szCs w:val="18"/>
                <w:color w:val="auto"/>
              </w:rPr>
            </w:pPr>
          </w:p>
        </w:tc>
      </w:tr>
      <w:tr>
        <w:trPr>
          <w:trHeight w:val="209"/>
        </w:trPr>
        <w:tc>
          <w:tcPr>
            <w:tcW w:w="8680" w:type="dxa"/>
            <w:vAlign w:val="bottom"/>
            <w:tcBorders>
              <w:top w:val="single" w:sz="8" w:color="CCEEFF"/>
            </w:tcBorders>
          </w:tcPr>
          <w:p>
            <w:pPr>
              <w:ind w:left="200"/>
              <w:spacing w:after="0"/>
              <w:rPr>
                <w:sz w:val="20"/>
                <w:szCs w:val="20"/>
                <w:color w:val="auto"/>
              </w:rPr>
            </w:pPr>
            <w:r>
              <w:rPr>
                <w:rFonts w:ascii="Arial" w:cs="Arial" w:eastAsia="Arial" w:hAnsi="Arial"/>
                <w:sz w:val="17"/>
                <w:szCs w:val="17"/>
                <w:color w:val="auto"/>
              </w:rPr>
              <w:t>Total gross premiums written</w:t>
            </w: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36,696,929</w:t>
            </w: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3"/>
              </w:rPr>
              <w:t>37,488,514</w:t>
            </w:r>
          </w:p>
        </w:tc>
        <w:tc>
          <w:tcPr>
            <w:tcW w:w="12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1"/>
        </w:trPr>
        <w:tc>
          <w:tcPr>
            <w:tcW w:w="8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9"/>
        </w:trPr>
        <w:tc>
          <w:tcPr>
            <w:tcW w:w="8680" w:type="dxa"/>
            <w:vAlign w:val="bottom"/>
          </w:tcPr>
          <w:p>
            <w:pPr>
              <w:ind w:left="40"/>
              <w:spacing w:after="0"/>
              <w:rPr>
                <w:sz w:val="20"/>
                <w:szCs w:val="20"/>
                <w:color w:val="auto"/>
              </w:rPr>
            </w:pPr>
            <w:r>
              <w:rPr>
                <w:rFonts w:ascii="Arial" w:cs="Arial" w:eastAsia="Arial" w:hAnsi="Arial"/>
                <w:sz w:val="17"/>
                <w:szCs w:val="17"/>
                <w:b w:val="1"/>
                <w:bCs w:val="1"/>
                <w:color w:val="auto"/>
              </w:rPr>
              <w:t>Net premiums written:</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8680" w:type="dxa"/>
            <w:vAlign w:val="bottom"/>
            <w:shd w:val="clear" w:color="auto" w:fill="CCEEFF"/>
          </w:tcPr>
          <w:p>
            <w:pPr>
              <w:ind w:left="40"/>
              <w:spacing w:after="0"/>
              <w:rPr>
                <w:sz w:val="20"/>
                <w:szCs w:val="20"/>
                <w:color w:val="auto"/>
              </w:rPr>
            </w:pPr>
            <w:r>
              <w:rPr>
                <w:rFonts w:ascii="Arial" w:cs="Arial" w:eastAsia="Arial" w:hAnsi="Arial"/>
                <w:sz w:val="17"/>
                <w:szCs w:val="17"/>
                <w:color w:val="auto"/>
              </w:rPr>
              <w:t>Personal lines(3)</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21,211,481</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23,503,863</w:t>
            </w:r>
          </w:p>
        </w:tc>
        <w:tc>
          <w:tcPr>
            <w:tcW w:w="120" w:type="dxa"/>
            <w:vAlign w:val="bottom"/>
            <w:shd w:val="clear" w:color="auto" w:fill="CCEEFF"/>
          </w:tcPr>
          <w:p>
            <w:pPr>
              <w:spacing w:after="0"/>
              <w:rPr>
                <w:sz w:val="18"/>
                <w:szCs w:val="18"/>
                <w:color w:val="auto"/>
              </w:rPr>
            </w:pPr>
          </w:p>
        </w:tc>
      </w:tr>
      <w:tr>
        <w:trPr>
          <w:trHeight w:val="209"/>
        </w:trPr>
        <w:tc>
          <w:tcPr>
            <w:tcW w:w="8680" w:type="dxa"/>
            <w:vAlign w:val="bottom"/>
          </w:tcPr>
          <w:p>
            <w:pPr>
              <w:ind w:left="40"/>
              <w:spacing w:after="0"/>
              <w:rPr>
                <w:sz w:val="20"/>
                <w:szCs w:val="20"/>
                <w:color w:val="auto"/>
              </w:rPr>
            </w:pPr>
            <w:r>
              <w:rPr>
                <w:rFonts w:ascii="Arial" w:cs="Arial" w:eastAsia="Arial" w:hAnsi="Arial"/>
                <w:sz w:val="17"/>
                <w:szCs w:val="17"/>
                <w:color w:val="auto"/>
              </w:rPr>
              <w:t>Livery physical damage</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2,314,401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2,730,086</w:t>
            </w:r>
          </w:p>
        </w:tc>
        <w:tc>
          <w:tcPr>
            <w:tcW w:w="120" w:type="dxa"/>
            <w:vAlign w:val="bottom"/>
          </w:tcPr>
          <w:p>
            <w:pPr>
              <w:spacing w:after="0"/>
              <w:rPr>
                <w:sz w:val="18"/>
                <w:szCs w:val="18"/>
                <w:color w:val="auto"/>
              </w:rPr>
            </w:pPr>
          </w:p>
        </w:tc>
      </w:tr>
      <w:tr>
        <w:trPr>
          <w:trHeight w:val="215"/>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Other(1)</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58,579</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66,295</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8680" w:type="dxa"/>
            <w:vAlign w:val="bottom"/>
          </w:tcPr>
          <w:p>
            <w:pPr>
              <w:ind w:left="200"/>
              <w:spacing w:after="0"/>
              <w:rPr>
                <w:sz w:val="20"/>
                <w:szCs w:val="20"/>
                <w:color w:val="auto"/>
              </w:rPr>
            </w:pPr>
            <w:r>
              <w:rPr>
                <w:rFonts w:ascii="Arial" w:cs="Arial" w:eastAsia="Arial" w:hAnsi="Arial"/>
                <w:sz w:val="17"/>
                <w:szCs w:val="17"/>
                <w:color w:val="auto"/>
              </w:rPr>
              <w:t>Total without commercial lines</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23,584,461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3"/>
              </w:rPr>
              <w:t>26,300,244</w:t>
            </w:r>
          </w:p>
        </w:tc>
        <w:tc>
          <w:tcPr>
            <w:tcW w:w="120" w:type="dxa"/>
            <w:vAlign w:val="bottom"/>
          </w:tcPr>
          <w:p>
            <w:pPr>
              <w:spacing w:after="0"/>
              <w:rPr>
                <w:sz w:val="18"/>
                <w:szCs w:val="18"/>
                <w:color w:val="auto"/>
              </w:rPr>
            </w:pPr>
          </w:p>
        </w:tc>
      </w:tr>
      <w:tr>
        <w:trPr>
          <w:trHeight w:val="215"/>
        </w:trPr>
        <w:tc>
          <w:tcPr>
            <w:tcW w:w="868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Commercial lines (in run-off effective July 2019)(2)</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(393,787)</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4,060,361</w:t>
            </w:r>
          </w:p>
        </w:tc>
        <w:tc>
          <w:tcPr>
            <w:tcW w:w="120" w:type="dxa"/>
            <w:vAlign w:val="bottom"/>
            <w:shd w:val="clear" w:color="auto" w:fill="CCEEFF"/>
          </w:tcPr>
          <w:p>
            <w:pPr>
              <w:spacing w:after="0"/>
              <w:rPr>
                <w:sz w:val="18"/>
                <w:szCs w:val="18"/>
                <w:color w:val="auto"/>
              </w:rPr>
            </w:pPr>
          </w:p>
        </w:tc>
      </w:tr>
      <w:tr>
        <w:trPr>
          <w:trHeight w:val="209"/>
        </w:trPr>
        <w:tc>
          <w:tcPr>
            <w:tcW w:w="8680" w:type="dxa"/>
            <w:vAlign w:val="bottom"/>
            <w:tcBorders>
              <w:top w:val="single" w:sz="8" w:color="CCEEFF"/>
            </w:tcBorders>
          </w:tcPr>
          <w:p>
            <w:pPr>
              <w:ind w:left="200"/>
              <w:spacing w:after="0"/>
              <w:rPr>
                <w:sz w:val="20"/>
                <w:szCs w:val="20"/>
                <w:color w:val="auto"/>
              </w:rPr>
            </w:pPr>
            <w:r>
              <w:rPr>
                <w:rFonts w:ascii="Arial" w:cs="Arial" w:eastAsia="Arial" w:hAnsi="Arial"/>
                <w:sz w:val="17"/>
                <w:szCs w:val="17"/>
                <w:color w:val="auto"/>
              </w:rPr>
              <w:t>Total net premiums written</w:t>
            </w: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23,190,674</w:t>
            </w: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3"/>
              </w:rPr>
              <w:t>30,360,605</w:t>
            </w:r>
          </w:p>
        </w:tc>
        <w:tc>
          <w:tcPr>
            <w:tcW w:w="12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1"/>
        </w:trPr>
        <w:tc>
          <w:tcPr>
            <w:tcW w:w="8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9"/>
        </w:trPr>
        <w:tc>
          <w:tcPr>
            <w:tcW w:w="8680" w:type="dxa"/>
            <w:vAlign w:val="bottom"/>
          </w:tcPr>
          <w:p>
            <w:pPr>
              <w:ind w:left="40"/>
              <w:spacing w:after="0"/>
              <w:rPr>
                <w:sz w:val="20"/>
                <w:szCs w:val="20"/>
                <w:color w:val="auto"/>
              </w:rPr>
            </w:pPr>
            <w:r>
              <w:rPr>
                <w:rFonts w:ascii="Arial" w:cs="Arial" w:eastAsia="Arial" w:hAnsi="Arial"/>
                <w:sz w:val="17"/>
                <w:szCs w:val="17"/>
                <w:b w:val="1"/>
                <w:bCs w:val="1"/>
                <w:color w:val="auto"/>
              </w:rPr>
              <w:t>Net premiums earned:</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8680" w:type="dxa"/>
            <w:vAlign w:val="bottom"/>
            <w:shd w:val="clear" w:color="auto" w:fill="CCEEFF"/>
          </w:tcPr>
          <w:p>
            <w:pPr>
              <w:ind w:left="40"/>
              <w:spacing w:after="0"/>
              <w:rPr>
                <w:sz w:val="20"/>
                <w:szCs w:val="20"/>
                <w:color w:val="auto"/>
              </w:rPr>
            </w:pPr>
            <w:r>
              <w:rPr>
                <w:rFonts w:ascii="Arial" w:cs="Arial" w:eastAsia="Arial" w:hAnsi="Arial"/>
                <w:sz w:val="17"/>
                <w:szCs w:val="17"/>
                <w:color w:val="auto"/>
              </w:rPr>
              <w:t>Personal lines(3)</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22,599,634</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23,420,874</w:t>
            </w:r>
          </w:p>
        </w:tc>
        <w:tc>
          <w:tcPr>
            <w:tcW w:w="120" w:type="dxa"/>
            <w:vAlign w:val="bottom"/>
            <w:shd w:val="clear" w:color="auto" w:fill="CCEEFF"/>
          </w:tcPr>
          <w:p>
            <w:pPr>
              <w:spacing w:after="0"/>
              <w:rPr>
                <w:sz w:val="18"/>
                <w:szCs w:val="18"/>
                <w:color w:val="auto"/>
              </w:rPr>
            </w:pPr>
          </w:p>
        </w:tc>
      </w:tr>
      <w:tr>
        <w:trPr>
          <w:trHeight w:val="209"/>
        </w:trPr>
        <w:tc>
          <w:tcPr>
            <w:tcW w:w="8680" w:type="dxa"/>
            <w:vAlign w:val="bottom"/>
          </w:tcPr>
          <w:p>
            <w:pPr>
              <w:ind w:left="40"/>
              <w:spacing w:after="0"/>
              <w:rPr>
                <w:sz w:val="20"/>
                <w:szCs w:val="20"/>
                <w:color w:val="auto"/>
              </w:rPr>
            </w:pPr>
            <w:r>
              <w:rPr>
                <w:rFonts w:ascii="Arial" w:cs="Arial" w:eastAsia="Arial" w:hAnsi="Arial"/>
                <w:sz w:val="17"/>
                <w:szCs w:val="17"/>
                <w:color w:val="auto"/>
              </w:rPr>
              <w:t>Livery physical damage</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2,606,579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2,517,682</w:t>
            </w:r>
          </w:p>
        </w:tc>
        <w:tc>
          <w:tcPr>
            <w:tcW w:w="120" w:type="dxa"/>
            <w:vAlign w:val="bottom"/>
          </w:tcPr>
          <w:p>
            <w:pPr>
              <w:spacing w:after="0"/>
              <w:rPr>
                <w:sz w:val="18"/>
                <w:szCs w:val="18"/>
                <w:color w:val="auto"/>
              </w:rPr>
            </w:pPr>
          </w:p>
        </w:tc>
      </w:tr>
      <w:tr>
        <w:trPr>
          <w:trHeight w:val="215"/>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Other(1)</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50,149</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58,017</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8680" w:type="dxa"/>
            <w:vAlign w:val="bottom"/>
          </w:tcPr>
          <w:p>
            <w:pPr>
              <w:ind w:left="200"/>
              <w:spacing w:after="0"/>
              <w:rPr>
                <w:sz w:val="20"/>
                <w:szCs w:val="20"/>
                <w:color w:val="auto"/>
              </w:rPr>
            </w:pPr>
            <w:r>
              <w:rPr>
                <w:rFonts w:ascii="Arial" w:cs="Arial" w:eastAsia="Arial" w:hAnsi="Arial"/>
                <w:sz w:val="17"/>
                <w:szCs w:val="17"/>
                <w:color w:val="auto"/>
              </w:rPr>
              <w:t>Total without commercial lines</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25,256,362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3"/>
              </w:rPr>
              <w:t>25,996,573</w:t>
            </w:r>
          </w:p>
        </w:tc>
        <w:tc>
          <w:tcPr>
            <w:tcW w:w="120" w:type="dxa"/>
            <w:vAlign w:val="bottom"/>
          </w:tcPr>
          <w:p>
            <w:pPr>
              <w:spacing w:after="0"/>
              <w:rPr>
                <w:sz w:val="18"/>
                <w:szCs w:val="18"/>
                <w:color w:val="auto"/>
              </w:rPr>
            </w:pPr>
          </w:p>
        </w:tc>
      </w:tr>
      <w:tr>
        <w:trPr>
          <w:trHeight w:val="215"/>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Commercial lines (in run-off effective July 2019)(2)</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1,685,088</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3,599,316</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8680" w:type="dxa"/>
            <w:vAlign w:val="bottom"/>
          </w:tcPr>
          <w:p>
            <w:pPr>
              <w:ind w:left="200"/>
              <w:spacing w:after="0"/>
              <w:rPr>
                <w:sz w:val="20"/>
                <w:szCs w:val="20"/>
                <w:color w:val="auto"/>
              </w:rPr>
            </w:pPr>
            <w:r>
              <w:rPr>
                <w:rFonts w:ascii="Arial" w:cs="Arial" w:eastAsia="Arial" w:hAnsi="Arial"/>
                <w:sz w:val="17"/>
                <w:szCs w:val="17"/>
                <w:color w:val="auto"/>
              </w:rPr>
              <w:t>Total net premiums earned</w:t>
            </w: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26,941,450</w:t>
            </w:r>
          </w:p>
        </w:tc>
        <w:tc>
          <w:tcPr>
            <w:tcW w:w="260" w:type="dxa"/>
            <w:vAlign w:val="bottom"/>
          </w:tcPr>
          <w:p>
            <w:pPr>
              <w:spacing w:after="0"/>
              <w:rPr>
                <w:sz w:val="18"/>
                <w:szCs w:val="18"/>
                <w:color w:val="auto"/>
              </w:rPr>
            </w:pP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29,595,889</w:t>
            </w:r>
          </w:p>
        </w:tc>
        <w:tc>
          <w:tcPr>
            <w:tcW w:w="120" w:type="dxa"/>
            <w:vAlign w:val="bottom"/>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1"/>
        </w:trPr>
        <w:tc>
          <w:tcPr>
            <w:tcW w:w="8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9"/>
        </w:trPr>
        <w:tc>
          <w:tcPr>
            <w:tcW w:w="8680" w:type="dxa"/>
            <w:vAlign w:val="bottom"/>
          </w:tcPr>
          <w:p>
            <w:pPr>
              <w:ind w:left="40"/>
              <w:spacing w:after="0"/>
              <w:rPr>
                <w:sz w:val="20"/>
                <w:szCs w:val="20"/>
                <w:color w:val="auto"/>
              </w:rPr>
            </w:pPr>
            <w:r>
              <w:rPr>
                <w:rFonts w:ascii="Arial" w:cs="Arial" w:eastAsia="Arial" w:hAnsi="Arial"/>
                <w:sz w:val="17"/>
                <w:szCs w:val="17"/>
                <w:b w:val="1"/>
                <w:bCs w:val="1"/>
                <w:color w:val="auto"/>
              </w:rPr>
              <w:t>Net loss and loss adjustment expenses(4):</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8680" w:type="dxa"/>
            <w:vAlign w:val="bottom"/>
            <w:shd w:val="clear" w:color="auto" w:fill="CCEEFF"/>
          </w:tcPr>
          <w:p>
            <w:pPr>
              <w:ind w:left="40"/>
              <w:spacing w:after="0"/>
              <w:rPr>
                <w:sz w:val="20"/>
                <w:szCs w:val="20"/>
                <w:color w:val="auto"/>
              </w:rPr>
            </w:pPr>
            <w:r>
              <w:rPr>
                <w:rFonts w:ascii="Arial" w:cs="Arial" w:eastAsia="Arial" w:hAnsi="Arial"/>
                <w:sz w:val="17"/>
                <w:szCs w:val="17"/>
                <w:color w:val="auto"/>
              </w:rPr>
              <w:t>Personal lines</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12,514,568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20,402,544</w:t>
            </w:r>
          </w:p>
        </w:tc>
        <w:tc>
          <w:tcPr>
            <w:tcW w:w="120" w:type="dxa"/>
            <w:vAlign w:val="bottom"/>
            <w:shd w:val="clear" w:color="auto" w:fill="CCEEFF"/>
          </w:tcPr>
          <w:p>
            <w:pPr>
              <w:spacing w:after="0"/>
              <w:rPr>
                <w:sz w:val="18"/>
                <w:szCs w:val="18"/>
                <w:color w:val="auto"/>
              </w:rPr>
            </w:pPr>
          </w:p>
        </w:tc>
      </w:tr>
      <w:tr>
        <w:trPr>
          <w:trHeight w:val="209"/>
        </w:trPr>
        <w:tc>
          <w:tcPr>
            <w:tcW w:w="8680" w:type="dxa"/>
            <w:vAlign w:val="bottom"/>
          </w:tcPr>
          <w:p>
            <w:pPr>
              <w:ind w:left="40"/>
              <w:spacing w:after="0"/>
              <w:rPr>
                <w:sz w:val="20"/>
                <w:szCs w:val="20"/>
                <w:color w:val="auto"/>
              </w:rPr>
            </w:pPr>
            <w:r>
              <w:rPr>
                <w:rFonts w:ascii="Arial" w:cs="Arial" w:eastAsia="Arial" w:hAnsi="Arial"/>
                <w:sz w:val="17"/>
                <w:szCs w:val="17"/>
                <w:color w:val="auto"/>
              </w:rPr>
              <w:t>Livery physical damage</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780,570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1,217,303</w:t>
            </w:r>
          </w:p>
        </w:tc>
        <w:tc>
          <w:tcPr>
            <w:tcW w:w="120" w:type="dxa"/>
            <w:vAlign w:val="bottom"/>
          </w:tcPr>
          <w:p>
            <w:pPr>
              <w:spacing w:after="0"/>
              <w:rPr>
                <w:sz w:val="18"/>
                <w:szCs w:val="18"/>
                <w:color w:val="auto"/>
              </w:rPr>
            </w:pPr>
          </w:p>
        </w:tc>
      </w:tr>
      <w:tr>
        <w:trPr>
          <w:trHeight w:val="209"/>
        </w:trPr>
        <w:tc>
          <w:tcPr>
            <w:tcW w:w="8680" w:type="dxa"/>
            <w:vAlign w:val="bottom"/>
            <w:shd w:val="clear" w:color="auto" w:fill="CCEEFF"/>
          </w:tcPr>
          <w:p>
            <w:pPr>
              <w:ind w:left="40"/>
              <w:spacing w:after="0"/>
              <w:rPr>
                <w:sz w:val="20"/>
                <w:szCs w:val="20"/>
                <w:color w:val="auto"/>
              </w:rPr>
            </w:pPr>
            <w:r>
              <w:rPr>
                <w:rFonts w:ascii="Arial" w:cs="Arial" w:eastAsia="Arial" w:hAnsi="Arial"/>
                <w:sz w:val="17"/>
                <w:szCs w:val="17"/>
                <w:color w:val="auto"/>
              </w:rPr>
              <w:t>Other(1)</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48,797</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150,504</w:t>
            </w:r>
          </w:p>
        </w:tc>
        <w:tc>
          <w:tcPr>
            <w:tcW w:w="120" w:type="dxa"/>
            <w:vAlign w:val="bottom"/>
            <w:shd w:val="clear" w:color="auto" w:fill="CCEEFF"/>
          </w:tcPr>
          <w:p>
            <w:pPr>
              <w:spacing w:after="0"/>
              <w:rPr>
                <w:sz w:val="18"/>
                <w:szCs w:val="18"/>
                <w:color w:val="auto"/>
              </w:rPr>
            </w:pPr>
          </w:p>
        </w:tc>
      </w:tr>
      <w:tr>
        <w:trPr>
          <w:trHeight w:val="215"/>
        </w:trPr>
        <w:tc>
          <w:tcPr>
            <w:tcW w:w="8680" w:type="dxa"/>
            <w:vAlign w:val="bottom"/>
          </w:tcPr>
          <w:p>
            <w:pPr>
              <w:ind w:left="40"/>
              <w:spacing w:after="0"/>
              <w:rPr>
                <w:sz w:val="20"/>
                <w:szCs w:val="20"/>
                <w:color w:val="auto"/>
              </w:rPr>
            </w:pPr>
            <w:r>
              <w:rPr>
                <w:rFonts w:ascii="Arial" w:cs="Arial" w:eastAsia="Arial" w:hAnsi="Arial"/>
                <w:sz w:val="17"/>
                <w:szCs w:val="17"/>
                <w:color w:val="auto"/>
              </w:rPr>
              <w:t>Unallocated loss adjustment expenses</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769,812</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694,650</w:t>
            </w:r>
          </w:p>
        </w:tc>
        <w:tc>
          <w:tcPr>
            <w:tcW w:w="120" w:type="dxa"/>
            <w:vAlign w:val="bottom"/>
          </w:tcPr>
          <w:p>
            <w:pPr>
              <w:spacing w:after="0"/>
              <w:rPr>
                <w:sz w:val="18"/>
                <w:szCs w:val="18"/>
                <w:color w:val="auto"/>
              </w:rPr>
            </w:pPr>
          </w:p>
        </w:tc>
      </w:tr>
      <w:tr>
        <w:trPr>
          <w:trHeight w:val="209"/>
        </w:trPr>
        <w:tc>
          <w:tcPr>
            <w:tcW w:w="8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without commercial lines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14,113,747</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22,465,001</w:t>
            </w:r>
          </w:p>
        </w:tc>
        <w:tc>
          <w:tcPr>
            <w:tcW w:w="120" w:type="dxa"/>
            <w:vAlign w:val="bottom"/>
            <w:shd w:val="clear" w:color="auto" w:fill="CCEEFF"/>
          </w:tcPr>
          <w:p>
            <w:pPr>
              <w:spacing w:after="0"/>
              <w:rPr>
                <w:sz w:val="18"/>
                <w:szCs w:val="18"/>
                <w:color w:val="auto"/>
              </w:rPr>
            </w:pPr>
          </w:p>
        </w:tc>
      </w:tr>
      <w:tr>
        <w:trPr>
          <w:trHeight w:val="215"/>
        </w:trPr>
        <w:tc>
          <w:tcPr>
            <w:tcW w:w="8680" w:type="dxa"/>
            <w:vAlign w:val="bottom"/>
          </w:tcPr>
          <w:p>
            <w:pPr>
              <w:ind w:left="40"/>
              <w:spacing w:after="0"/>
              <w:rPr>
                <w:sz w:val="20"/>
                <w:szCs w:val="20"/>
                <w:color w:val="auto"/>
              </w:rPr>
            </w:pPr>
            <w:r>
              <w:rPr>
                <w:rFonts w:ascii="Arial" w:cs="Arial" w:eastAsia="Arial" w:hAnsi="Arial"/>
                <w:sz w:val="17"/>
                <w:szCs w:val="17"/>
                <w:color w:val="auto"/>
              </w:rPr>
              <w:t>Commercial lines (in run-off effective July 2019)(2)</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2,272,074</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6,669,223</w:t>
            </w:r>
          </w:p>
        </w:tc>
        <w:tc>
          <w:tcPr>
            <w:tcW w:w="120" w:type="dxa"/>
            <w:vAlign w:val="bottom"/>
          </w:tcPr>
          <w:p>
            <w:pPr>
              <w:spacing w:after="0"/>
              <w:rPr>
                <w:sz w:val="18"/>
                <w:szCs w:val="18"/>
                <w:color w:val="auto"/>
              </w:rPr>
            </w:pPr>
          </w:p>
        </w:tc>
      </w:tr>
      <w:tr>
        <w:trPr>
          <w:trHeight w:val="249"/>
        </w:trPr>
        <w:tc>
          <w:tcPr>
            <w:tcW w:w="8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Total net loss and loss adjustment expenses</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16,385,821</w:t>
            </w:r>
          </w:p>
        </w:tc>
        <w:tc>
          <w:tcPr>
            <w:tcW w:w="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29,134,224</w:t>
            </w:r>
          </w:p>
        </w:tc>
        <w:tc>
          <w:tcPr>
            <w:tcW w:w="120" w:type="dxa"/>
            <w:vAlign w:val="bottom"/>
            <w:tcBorders>
              <w:bottom w:val="single" w:sz="8" w:color="CCEEFF"/>
            </w:tcBorders>
            <w:shd w:val="clear" w:color="auto" w:fill="CCEEFF"/>
          </w:tcPr>
          <w:p>
            <w:pPr>
              <w:spacing w:after="0"/>
              <w:rPr>
                <w:sz w:val="21"/>
                <w:szCs w:val="21"/>
                <w:color w:val="auto"/>
              </w:rPr>
            </w:pPr>
          </w:p>
        </w:tc>
      </w:tr>
    </w:tbl>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4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loss ratio(4):</w:t>
            </w:r>
          </w:p>
        </w:tc>
        <w:tc>
          <w:tcPr>
            <w:tcW w:w="38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6480" w:type="dxa"/>
            <w:vAlign w:val="bottom"/>
          </w:tcPr>
          <w:p>
            <w:pPr>
              <w:spacing w:after="0"/>
              <w:rPr>
                <w:sz w:val="20"/>
                <w:szCs w:val="20"/>
                <w:color w:val="auto"/>
              </w:rPr>
            </w:pPr>
            <w:r>
              <w:rPr>
                <w:rFonts w:ascii="Arial" w:cs="Arial" w:eastAsia="Arial" w:hAnsi="Arial"/>
                <w:sz w:val="17"/>
                <w:szCs w:val="17"/>
                <w:color w:val="auto"/>
              </w:rPr>
              <w:t>Personal lines</w:t>
            </w:r>
          </w:p>
        </w:tc>
        <w:tc>
          <w:tcPr>
            <w:tcW w:w="3840" w:type="dxa"/>
            <w:vAlign w:val="bottom"/>
          </w:tcPr>
          <w:p>
            <w:pPr>
              <w:jc w:val="right"/>
              <w:ind w:right="335"/>
              <w:spacing w:after="0"/>
              <w:rPr>
                <w:sz w:val="20"/>
                <w:szCs w:val="20"/>
                <w:color w:val="auto"/>
              </w:rPr>
            </w:pPr>
            <w:r>
              <w:rPr>
                <w:rFonts w:ascii="Arial" w:cs="Arial" w:eastAsia="Arial" w:hAnsi="Arial"/>
                <w:sz w:val="17"/>
                <w:szCs w:val="17"/>
                <w:color w:val="auto"/>
              </w:rPr>
              <w:t>55.4%</w:t>
            </w:r>
          </w:p>
        </w:tc>
        <w:tc>
          <w:tcPr>
            <w:tcW w:w="920" w:type="dxa"/>
            <w:vAlign w:val="bottom"/>
          </w:tcPr>
          <w:p>
            <w:pPr>
              <w:jc w:val="right"/>
              <w:spacing w:after="0"/>
              <w:rPr>
                <w:sz w:val="20"/>
                <w:szCs w:val="20"/>
                <w:color w:val="auto"/>
              </w:rPr>
            </w:pPr>
            <w:r>
              <w:rPr>
                <w:rFonts w:ascii="Arial" w:cs="Arial" w:eastAsia="Arial" w:hAnsi="Arial"/>
                <w:sz w:val="17"/>
                <w:szCs w:val="17"/>
                <w:color w:val="auto"/>
              </w:rPr>
              <w:t>87.1%</w:t>
            </w:r>
          </w:p>
        </w:tc>
        <w:tc>
          <w:tcPr>
            <w:tcW w:w="20" w:type="dxa"/>
            <w:vAlign w:val="bottom"/>
          </w:tcPr>
          <w:p>
            <w:pPr>
              <w:spacing w:after="0"/>
              <w:rPr>
                <w:sz w:val="18"/>
                <w:szCs w:val="18"/>
                <w:color w:val="auto"/>
              </w:rPr>
            </w:pPr>
          </w:p>
        </w:tc>
      </w:tr>
      <w:tr>
        <w:trPr>
          <w:trHeight w:val="209"/>
        </w:trPr>
        <w:tc>
          <w:tcPr>
            <w:tcW w:w="6480" w:type="dxa"/>
            <w:vAlign w:val="bottom"/>
            <w:shd w:val="clear" w:color="auto" w:fill="CCEEFF"/>
          </w:tcPr>
          <w:p>
            <w:pPr>
              <w:spacing w:after="0"/>
              <w:rPr>
                <w:sz w:val="20"/>
                <w:szCs w:val="20"/>
                <w:color w:val="auto"/>
              </w:rPr>
            </w:pPr>
            <w:r>
              <w:rPr>
                <w:rFonts w:ascii="Arial" w:cs="Arial" w:eastAsia="Arial" w:hAnsi="Arial"/>
                <w:sz w:val="17"/>
                <w:szCs w:val="17"/>
                <w:color w:val="auto"/>
              </w:rPr>
              <w:t>Livery physical damage</w:t>
            </w:r>
          </w:p>
        </w:tc>
        <w:tc>
          <w:tcPr>
            <w:tcW w:w="384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rPr>
              <w:t>29.9%</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w:t>
            </w:r>
          </w:p>
        </w:tc>
        <w:tc>
          <w:tcPr>
            <w:tcW w:w="20" w:type="dxa"/>
            <w:vAlign w:val="bottom"/>
          </w:tcPr>
          <w:p>
            <w:pPr>
              <w:spacing w:after="0"/>
              <w:rPr>
                <w:sz w:val="18"/>
                <w:szCs w:val="18"/>
                <w:color w:val="auto"/>
              </w:rPr>
            </w:pPr>
          </w:p>
        </w:tc>
      </w:tr>
      <w:tr>
        <w:trPr>
          <w:trHeight w:val="209"/>
        </w:trPr>
        <w:tc>
          <w:tcPr>
            <w:tcW w:w="6480" w:type="dxa"/>
            <w:vAlign w:val="bottom"/>
          </w:tcPr>
          <w:p>
            <w:pPr>
              <w:spacing w:after="0"/>
              <w:rPr>
                <w:sz w:val="20"/>
                <w:szCs w:val="20"/>
                <w:color w:val="auto"/>
              </w:rPr>
            </w:pPr>
            <w:r>
              <w:rPr>
                <w:rFonts w:ascii="Arial" w:cs="Arial" w:eastAsia="Arial" w:hAnsi="Arial"/>
                <w:sz w:val="17"/>
                <w:szCs w:val="17"/>
                <w:color w:val="auto"/>
              </w:rPr>
              <w:t>Other(1)</w:t>
            </w:r>
          </w:p>
        </w:tc>
        <w:tc>
          <w:tcPr>
            <w:tcW w:w="3840" w:type="dxa"/>
            <w:vAlign w:val="bottom"/>
          </w:tcPr>
          <w:p>
            <w:pPr>
              <w:jc w:val="right"/>
              <w:ind w:right="335"/>
              <w:spacing w:after="0"/>
              <w:rPr>
                <w:sz w:val="20"/>
                <w:szCs w:val="20"/>
                <w:color w:val="auto"/>
              </w:rPr>
            </w:pPr>
            <w:r>
              <w:rPr>
                <w:rFonts w:ascii="Arial" w:cs="Arial" w:eastAsia="Arial" w:hAnsi="Arial"/>
                <w:sz w:val="17"/>
                <w:szCs w:val="17"/>
                <w:color w:val="auto"/>
              </w:rPr>
              <w:t>97.3%</w:t>
            </w:r>
          </w:p>
        </w:tc>
        <w:tc>
          <w:tcPr>
            <w:tcW w:w="920" w:type="dxa"/>
            <w:vAlign w:val="bottom"/>
          </w:tcPr>
          <w:p>
            <w:pPr>
              <w:jc w:val="right"/>
              <w:spacing w:after="0"/>
              <w:rPr>
                <w:sz w:val="20"/>
                <w:szCs w:val="20"/>
                <w:color w:val="auto"/>
              </w:rPr>
            </w:pPr>
            <w:r>
              <w:rPr>
                <w:rFonts w:ascii="Arial" w:cs="Arial" w:eastAsia="Arial" w:hAnsi="Arial"/>
                <w:sz w:val="17"/>
                <w:szCs w:val="17"/>
                <w:color w:val="auto"/>
              </w:rPr>
              <w:t>259.4%</w:t>
            </w:r>
          </w:p>
        </w:tc>
        <w:tc>
          <w:tcPr>
            <w:tcW w:w="20" w:type="dxa"/>
            <w:vAlign w:val="bottom"/>
          </w:tcPr>
          <w:p>
            <w:pPr>
              <w:spacing w:after="0"/>
              <w:rPr>
                <w:sz w:val="18"/>
                <w:szCs w:val="18"/>
                <w:color w:val="auto"/>
              </w:rPr>
            </w:pPr>
          </w:p>
        </w:tc>
      </w:tr>
      <w:tr>
        <w:trPr>
          <w:trHeight w:val="209"/>
        </w:trPr>
        <w:tc>
          <w:tcPr>
            <w:tcW w:w="64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 without commercial lines</w:t>
            </w:r>
          </w:p>
        </w:tc>
        <w:tc>
          <w:tcPr>
            <w:tcW w:w="384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rPr>
              <w:t>55.9%</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86.4%</w:t>
            </w:r>
          </w:p>
        </w:tc>
        <w:tc>
          <w:tcPr>
            <w:tcW w:w="20" w:type="dxa"/>
            <w:vAlign w:val="bottom"/>
          </w:tcPr>
          <w:p>
            <w:pPr>
              <w:spacing w:after="0"/>
              <w:rPr>
                <w:sz w:val="18"/>
                <w:szCs w:val="18"/>
                <w:color w:val="auto"/>
              </w:rPr>
            </w:pPr>
          </w:p>
        </w:tc>
      </w:tr>
      <w:tr>
        <w:trPr>
          <w:trHeight w:val="209"/>
        </w:trPr>
        <w:tc>
          <w:tcPr>
            <w:tcW w:w="6480" w:type="dxa"/>
            <w:vAlign w:val="bottom"/>
          </w:tcPr>
          <w:p>
            <w:pPr>
              <w:ind w:left="40"/>
              <w:spacing w:after="0"/>
              <w:rPr>
                <w:sz w:val="20"/>
                <w:szCs w:val="20"/>
                <w:color w:val="auto"/>
              </w:rPr>
            </w:pPr>
            <w:r>
              <w:rPr>
                <w:rFonts w:ascii="Arial" w:cs="Arial" w:eastAsia="Arial" w:hAnsi="Arial"/>
                <w:sz w:val="17"/>
                <w:szCs w:val="17"/>
                <w:color w:val="auto"/>
              </w:rPr>
              <w:t>Commercial lines (in run-off effective July 2019)(2)</w:t>
            </w:r>
          </w:p>
        </w:tc>
        <w:tc>
          <w:tcPr>
            <w:tcW w:w="3840" w:type="dxa"/>
            <w:vAlign w:val="bottom"/>
          </w:tcPr>
          <w:p>
            <w:pPr>
              <w:jc w:val="right"/>
              <w:ind w:right="335"/>
              <w:spacing w:after="0"/>
              <w:rPr>
                <w:sz w:val="20"/>
                <w:szCs w:val="20"/>
                <w:color w:val="auto"/>
              </w:rPr>
            </w:pPr>
            <w:r>
              <w:rPr>
                <w:rFonts w:ascii="Arial" w:cs="Arial" w:eastAsia="Arial" w:hAnsi="Arial"/>
                <w:sz w:val="17"/>
                <w:szCs w:val="17"/>
                <w:color w:val="auto"/>
              </w:rPr>
              <w:t>134.8%</w:t>
            </w:r>
          </w:p>
        </w:tc>
        <w:tc>
          <w:tcPr>
            <w:tcW w:w="920" w:type="dxa"/>
            <w:vAlign w:val="bottom"/>
          </w:tcPr>
          <w:p>
            <w:pPr>
              <w:jc w:val="right"/>
              <w:spacing w:after="0"/>
              <w:rPr>
                <w:sz w:val="20"/>
                <w:szCs w:val="20"/>
                <w:color w:val="auto"/>
              </w:rPr>
            </w:pPr>
            <w:r>
              <w:rPr>
                <w:rFonts w:ascii="Arial" w:cs="Arial" w:eastAsia="Arial" w:hAnsi="Arial"/>
                <w:sz w:val="17"/>
                <w:szCs w:val="17"/>
                <w:color w:val="auto"/>
              </w:rPr>
              <w:t>185.3%</w:t>
            </w:r>
          </w:p>
        </w:tc>
        <w:tc>
          <w:tcPr>
            <w:tcW w:w="20" w:type="dxa"/>
            <w:vAlign w:val="bottom"/>
          </w:tcPr>
          <w:p>
            <w:pPr>
              <w:spacing w:after="0"/>
              <w:rPr>
                <w:sz w:val="18"/>
                <w:szCs w:val="18"/>
                <w:color w:val="auto"/>
              </w:rPr>
            </w:pPr>
          </w:p>
        </w:tc>
      </w:tr>
      <w:tr>
        <w:trPr>
          <w:trHeight w:val="209"/>
        </w:trPr>
        <w:tc>
          <w:tcPr>
            <w:tcW w:w="64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w:t>
            </w:r>
          </w:p>
        </w:tc>
        <w:tc>
          <w:tcPr>
            <w:tcW w:w="384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rPr>
              <w:t>60.8%</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98.4%</w:t>
            </w:r>
          </w:p>
        </w:tc>
        <w:tc>
          <w:tcPr>
            <w:tcW w:w="20" w:type="dxa"/>
            <w:vAlign w:val="bottom"/>
          </w:tcPr>
          <w:p>
            <w:pPr>
              <w:spacing w:after="0"/>
              <w:rPr>
                <w:sz w:val="18"/>
                <w:szCs w:val="18"/>
                <w:color w:val="auto"/>
              </w:rPr>
            </w:pPr>
          </w:p>
        </w:tc>
      </w:tr>
    </w:tbl>
    <w:p>
      <w:pPr>
        <w:spacing w:after="0" w:line="201" w:lineRule="exact"/>
        <w:rPr>
          <w:sz w:val="20"/>
          <w:szCs w:val="20"/>
          <w:color w:val="auto"/>
        </w:rPr>
      </w:pPr>
    </w:p>
    <w:p>
      <w:pPr>
        <w:ind w:left="480" w:right="20" w:hanging="319"/>
        <w:spacing w:after="0" w:line="260" w:lineRule="auto"/>
        <w:tabs>
          <w:tab w:leader="none" w:pos="4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“Other” includes, among other things, premiums and loss and loss adjustment expenses from our participation in a mandatory state joint underwriting association and loss and loss adjustment expenses from commercial auto.</w:t>
      </w:r>
    </w:p>
    <w:p>
      <w:pPr>
        <w:ind w:left="480" w:right="20" w:hanging="319"/>
        <w:spacing w:after="0" w:line="256" w:lineRule="auto"/>
        <w:tabs>
          <w:tab w:leader="none" w:pos="4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July 2019, we decided that we will no longer underwrite Commercial Liability risks. See discussions above regarding the discontinuation of this line of business.</w:t>
      </w:r>
    </w:p>
    <w:p>
      <w:pPr>
        <w:spacing w:after="0" w:line="1" w:lineRule="exact"/>
        <w:rPr>
          <w:rFonts w:ascii="Arial" w:cs="Arial" w:eastAsia="Arial" w:hAnsi="Arial"/>
          <w:sz w:val="17"/>
          <w:szCs w:val="17"/>
          <w:color w:val="auto"/>
        </w:rPr>
      </w:pPr>
    </w:p>
    <w:p>
      <w:pPr>
        <w:ind w:left="480" w:right="20" w:hanging="319"/>
        <w:spacing w:after="0" w:line="256" w:lineRule="auto"/>
        <w:tabs>
          <w:tab w:leader="none" w:pos="4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See discussion above with regard to “Net Written Premiums and Net Premiums Earned”, as to changes in quota share ceding rates, effective July 1, 2019 and 2018.</w:t>
      </w:r>
    </w:p>
    <w:p>
      <w:pPr>
        <w:spacing w:after="0" w:line="1" w:lineRule="exact"/>
        <w:rPr>
          <w:rFonts w:ascii="Arial" w:cs="Arial" w:eastAsia="Arial" w:hAnsi="Arial"/>
          <w:sz w:val="17"/>
          <w:szCs w:val="17"/>
          <w:color w:val="auto"/>
        </w:rPr>
      </w:pPr>
    </w:p>
    <w:p>
      <w:pPr>
        <w:ind w:left="480" w:hanging="319"/>
        <w:spacing w:after="0"/>
        <w:tabs>
          <w:tab w:leader="none" w:pos="4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See discussion above with regard to “Net Loss and LAE”, as to catastrophe losses in the three months ended March 31, 2020 and 2019.</w:t>
      </w:r>
    </w:p>
    <w:p>
      <w:pPr>
        <w:sectPr>
          <w:pgSz w:w="11900" w:h="16838" w:orient="portrait"/>
          <w:cols w:equalWidth="0" w:num="1">
            <w:col w:w="11260"/>
          </w:cols>
          <w:pgMar w:left="320" w:top="575" w:right="319" w:bottom="0" w:gutter="0" w:footer="0" w:header="0"/>
        </w:sectPr>
      </w:pPr>
    </w:p>
    <w:bookmarkStart w:id="46" w:name="page47"/>
    <w:bookmarkEnd w:id="46"/>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36195</wp:posOffset>
            </wp:positionV>
            <wp:extent cx="71367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color w:val="auto"/>
        </w:rPr>
        <w:t>Insurance Underwriting Business on a Standalone Basis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680" w:type="dxa"/>
            <w:vAlign w:val="bottom"/>
          </w:tcPr>
          <w:p>
            <w:pPr>
              <w:ind w:left="640"/>
              <w:spacing w:after="0"/>
              <w:rPr>
                <w:sz w:val="20"/>
                <w:szCs w:val="20"/>
                <w:color w:val="auto"/>
              </w:rPr>
            </w:pPr>
            <w:r>
              <w:rPr>
                <w:rFonts w:ascii="Arial" w:cs="Arial" w:eastAsia="Arial" w:hAnsi="Arial"/>
                <w:sz w:val="17"/>
                <w:szCs w:val="17"/>
                <w:color w:val="auto"/>
              </w:rPr>
              <w:t>Our insurance underwriting business reported on a standalone basis for the periods indicated is as follows:</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3"/>
        </w:trPr>
        <w:tc>
          <w:tcPr>
            <w:tcW w:w="8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gridSpan w:val="6"/>
          </w:tcPr>
          <w:p>
            <w:pPr>
              <w:ind w:left="280"/>
              <w:spacing w:after="0"/>
              <w:rPr>
                <w:sz w:val="20"/>
                <w:szCs w:val="20"/>
                <w:color w:val="auto"/>
              </w:rPr>
            </w:pPr>
            <w:r>
              <w:rPr>
                <w:rFonts w:ascii="Arial" w:cs="Arial" w:eastAsia="Arial" w:hAnsi="Arial"/>
                <w:sz w:val="17"/>
                <w:szCs w:val="17"/>
                <w:b w:val="1"/>
                <w:bCs w:val="1"/>
                <w:color w:val="auto"/>
              </w:rPr>
              <w:t>Three months ended</w:t>
            </w:r>
          </w:p>
        </w:tc>
        <w:tc>
          <w:tcPr>
            <w:tcW w:w="0" w:type="dxa"/>
            <w:vAlign w:val="bottom"/>
          </w:tcPr>
          <w:p>
            <w:pPr>
              <w:spacing w:after="0"/>
              <w:rPr>
                <w:sz w:val="1"/>
                <w:szCs w:val="1"/>
                <w:color w:val="auto"/>
              </w:rPr>
            </w:pPr>
          </w:p>
        </w:tc>
      </w:tr>
      <w:tr>
        <w:trPr>
          <w:trHeight w:val="244"/>
        </w:trPr>
        <w:tc>
          <w:tcPr>
            <w:tcW w:w="86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March 31,</w:t>
            </w:r>
          </w:p>
        </w:tc>
        <w:tc>
          <w:tcPr>
            <w:tcW w:w="8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2020</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2019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9"/>
        </w:trPr>
        <w:tc>
          <w:tcPr>
            <w:tcW w:w="8680" w:type="dxa"/>
            <w:vAlign w:val="bottom"/>
          </w:tcPr>
          <w:p>
            <w:pPr>
              <w:ind w:left="40"/>
              <w:spacing w:after="0"/>
              <w:rPr>
                <w:sz w:val="20"/>
                <w:szCs w:val="20"/>
                <w:color w:val="auto"/>
              </w:rPr>
            </w:pPr>
            <w:r>
              <w:rPr>
                <w:rFonts w:ascii="Arial" w:cs="Arial" w:eastAsia="Arial" w:hAnsi="Arial"/>
                <w:sz w:val="17"/>
                <w:szCs w:val="17"/>
                <w:b w:val="1"/>
                <w:bCs w:val="1"/>
                <w:color w:val="auto"/>
              </w:rPr>
              <w:t>Revenue</w:t>
            </w:r>
            <w:r>
              <w:rPr>
                <w:rFonts w:ascii="Arial" w:cs="Arial" w:eastAsia="Arial" w:hAnsi="Arial"/>
                <w:sz w:val="17"/>
                <w:szCs w:val="17"/>
                <w:color w:val="auto"/>
              </w:rPr>
              <w:t>s</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premiums earned</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26,941,450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29,595,889</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Pr>
          <w:p>
            <w:pPr>
              <w:ind w:left="200"/>
              <w:spacing w:after="0"/>
              <w:rPr>
                <w:sz w:val="20"/>
                <w:szCs w:val="20"/>
                <w:color w:val="auto"/>
              </w:rPr>
            </w:pPr>
            <w:r>
              <w:rPr>
                <w:rFonts w:ascii="Arial" w:cs="Arial" w:eastAsia="Arial" w:hAnsi="Arial"/>
                <w:sz w:val="17"/>
                <w:szCs w:val="17"/>
                <w:color w:val="auto"/>
              </w:rPr>
              <w:t>Ceding commission revenue</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3,831,099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1,277,683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investment income</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1,665,393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1,599,932</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Pr>
          <w:p>
            <w:pPr>
              <w:ind w:left="200"/>
              <w:spacing w:after="0"/>
              <w:rPr>
                <w:sz w:val="20"/>
                <w:szCs w:val="20"/>
                <w:color w:val="auto"/>
              </w:rPr>
            </w:pPr>
            <w:r>
              <w:rPr>
                <w:rFonts w:ascii="Arial" w:cs="Arial" w:eastAsia="Arial" w:hAnsi="Arial"/>
                <w:sz w:val="17"/>
                <w:szCs w:val="17"/>
                <w:color w:val="auto"/>
              </w:rPr>
              <w:t>Net (losses) gains on investments</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(6,309,184)</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1,993,563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Other income</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244,974</w:t>
            </w:r>
          </w:p>
        </w:tc>
        <w:tc>
          <w:tcPr>
            <w:tcW w:w="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314,738</w:t>
            </w: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80" w:type="dxa"/>
            <w:vAlign w:val="bottom"/>
          </w:tcPr>
          <w:p>
            <w:pPr>
              <w:ind w:left="360"/>
              <w:spacing w:after="0"/>
              <w:rPr>
                <w:sz w:val="20"/>
                <w:szCs w:val="20"/>
                <w:color w:val="auto"/>
              </w:rPr>
            </w:pPr>
            <w:r>
              <w:rPr>
                <w:rFonts w:ascii="Arial" w:cs="Arial" w:eastAsia="Arial" w:hAnsi="Arial"/>
                <w:sz w:val="17"/>
                <w:szCs w:val="17"/>
                <w:color w:val="auto"/>
              </w:rPr>
              <w:t>Total revenues</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26,373,732</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34,781,805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Pr>
          <w:p>
            <w:pPr>
              <w:ind w:left="40"/>
              <w:spacing w:after="0"/>
              <w:rPr>
                <w:sz w:val="20"/>
                <w:szCs w:val="20"/>
                <w:color w:val="auto"/>
              </w:rPr>
            </w:pPr>
            <w:r>
              <w:rPr>
                <w:rFonts w:ascii="Arial" w:cs="Arial" w:eastAsia="Arial" w:hAnsi="Arial"/>
                <w:sz w:val="17"/>
                <w:szCs w:val="17"/>
                <w:b w:val="1"/>
                <w:bCs w:val="1"/>
                <w:color w:val="auto"/>
              </w:rPr>
              <w:t>Expense</w:t>
            </w:r>
            <w:r>
              <w:rPr>
                <w:rFonts w:ascii="Arial" w:cs="Arial" w:eastAsia="Arial" w:hAnsi="Arial"/>
                <w:sz w:val="17"/>
                <w:szCs w:val="17"/>
                <w:color w:val="auto"/>
              </w:rPr>
              <w:t>s</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Loss and loss adjustment expenses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16,385,821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29,134,224</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Pr>
          <w:p>
            <w:pPr>
              <w:ind w:left="200"/>
              <w:spacing w:after="0"/>
              <w:rPr>
                <w:sz w:val="20"/>
                <w:szCs w:val="20"/>
                <w:color w:val="auto"/>
              </w:rPr>
            </w:pPr>
            <w:r>
              <w:rPr>
                <w:rFonts w:ascii="Arial" w:cs="Arial" w:eastAsia="Arial" w:hAnsi="Arial"/>
                <w:sz w:val="17"/>
                <w:szCs w:val="17"/>
                <w:color w:val="auto"/>
              </w:rPr>
              <w:t>Commission expense</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7,899,191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6,853,416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Other underwriting expenses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6,761,792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6,135,991</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80" w:type="dxa"/>
            <w:vAlign w:val="bottom"/>
          </w:tcPr>
          <w:p>
            <w:pPr>
              <w:ind w:left="200"/>
              <w:spacing w:after="0"/>
              <w:rPr>
                <w:sz w:val="20"/>
                <w:szCs w:val="20"/>
                <w:color w:val="auto"/>
              </w:rPr>
            </w:pPr>
            <w:r>
              <w:rPr>
                <w:rFonts w:ascii="Arial" w:cs="Arial" w:eastAsia="Arial" w:hAnsi="Arial"/>
                <w:sz w:val="17"/>
                <w:szCs w:val="17"/>
                <w:color w:val="auto"/>
              </w:rPr>
              <w:t>Depreciation and amortization</w:t>
            </w: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653,902</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578,353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7"/>
                <w:szCs w:val="17"/>
                <w:color w:val="auto"/>
              </w:rPr>
              <w:t>Total expenses</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31,700,706</w:t>
            </w:r>
          </w:p>
        </w:tc>
        <w:tc>
          <w:tcPr>
            <w:tcW w:w="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42,701,984</w:t>
            </w: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Loss from operations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(5,326,974)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(7,920,179)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Pr>
          <w:p>
            <w:pPr>
              <w:ind w:left="200"/>
              <w:spacing w:after="0"/>
              <w:rPr>
                <w:sz w:val="20"/>
                <w:szCs w:val="20"/>
                <w:color w:val="auto"/>
              </w:rPr>
            </w:pPr>
            <w:r>
              <w:rPr>
                <w:rFonts w:ascii="Arial" w:cs="Arial" w:eastAsia="Arial" w:hAnsi="Arial"/>
                <w:sz w:val="17"/>
                <w:szCs w:val="17"/>
                <w:color w:val="auto"/>
              </w:rPr>
              <w:t>Income tax benefit</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(1,207,969)</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(1,702,971)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868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Net loss</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(4,119,005)</w:t>
            </w: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(6,217,208)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86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Key Measures: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Pr>
          <w:p>
            <w:pPr>
              <w:ind w:left="200"/>
              <w:spacing w:after="0"/>
              <w:rPr>
                <w:sz w:val="20"/>
                <w:szCs w:val="20"/>
                <w:color w:val="auto"/>
              </w:rPr>
            </w:pPr>
            <w:r>
              <w:rPr>
                <w:rFonts w:ascii="Arial" w:cs="Arial" w:eastAsia="Arial" w:hAnsi="Arial"/>
                <w:sz w:val="17"/>
                <w:szCs w:val="17"/>
                <w:color w:val="auto"/>
              </w:rPr>
              <w:t>Net loss ratio</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60.8%</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98.4%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underwriting expense ratio</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39.3%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6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680" w:type="dxa"/>
            <w:vAlign w:val="bottom"/>
          </w:tcPr>
          <w:p>
            <w:pPr>
              <w:ind w:left="200"/>
              <w:spacing w:after="0"/>
              <w:rPr>
                <w:sz w:val="20"/>
                <w:szCs w:val="20"/>
                <w:color w:val="auto"/>
              </w:rPr>
            </w:pPr>
            <w:r>
              <w:rPr>
                <w:rFonts w:ascii="Arial" w:cs="Arial" w:eastAsia="Arial" w:hAnsi="Arial"/>
                <w:sz w:val="17"/>
                <w:szCs w:val="17"/>
                <w:color w:val="auto"/>
              </w:rPr>
              <w:t>Net combined ratio</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100.1%</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136.9%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680" w:type="dxa"/>
            <w:vAlign w:val="bottom"/>
          </w:tcPr>
          <w:p>
            <w:pPr>
              <w:ind w:left="200"/>
              <w:spacing w:after="0"/>
              <w:rPr>
                <w:sz w:val="20"/>
                <w:szCs w:val="20"/>
                <w:color w:val="auto"/>
              </w:rPr>
            </w:pPr>
            <w:r>
              <w:rPr>
                <w:rFonts w:ascii="Arial" w:cs="Arial" w:eastAsia="Arial" w:hAnsi="Arial"/>
                <w:sz w:val="17"/>
                <w:szCs w:val="17"/>
                <w:color w:val="auto"/>
              </w:rPr>
              <w:t>Reconciliation of net underwriting expense ratio:</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Acquisition costs and other</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Pr>
          <w:p>
            <w:pPr>
              <w:ind w:left="200"/>
              <w:spacing w:after="0"/>
              <w:rPr>
                <w:sz w:val="20"/>
                <w:szCs w:val="20"/>
                <w:color w:val="auto"/>
              </w:rPr>
            </w:pPr>
            <w:r>
              <w:rPr>
                <w:rFonts w:ascii="Arial" w:cs="Arial" w:eastAsia="Arial" w:hAnsi="Arial"/>
                <w:sz w:val="17"/>
                <w:szCs w:val="17"/>
                <w:color w:val="auto"/>
              </w:rPr>
              <w:t>underwriting expenses</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14,660,983</w:t>
            </w:r>
          </w:p>
        </w:tc>
        <w:tc>
          <w:tcPr>
            <w:tcW w:w="260" w:type="dxa"/>
            <w:vAlign w:val="bottom"/>
          </w:tcPr>
          <w:p>
            <w:pPr>
              <w:spacing w:after="0"/>
              <w:rPr>
                <w:sz w:val="18"/>
                <w:szCs w:val="18"/>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spacing w:after="0"/>
              <w:rPr>
                <w:sz w:val="20"/>
                <w:szCs w:val="20"/>
                <w:color w:val="auto"/>
              </w:rPr>
            </w:pPr>
            <w:r>
              <w:rPr>
                <w:rFonts w:ascii="Arial" w:cs="Arial" w:eastAsia="Arial" w:hAnsi="Arial"/>
                <w:sz w:val="17"/>
                <w:szCs w:val="17"/>
                <w:color w:val="auto"/>
                <w:w w:val="96"/>
              </w:rPr>
              <w:t>12,989,407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Less: Ceding commission revenue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(3,831,099)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(1,277,683)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80" w:type="dxa"/>
            <w:vAlign w:val="bottom"/>
          </w:tcPr>
          <w:p>
            <w:pPr>
              <w:ind w:left="200"/>
              <w:spacing w:after="0"/>
              <w:rPr>
                <w:sz w:val="20"/>
                <w:szCs w:val="20"/>
                <w:color w:val="auto"/>
              </w:rPr>
            </w:pPr>
            <w:r>
              <w:rPr>
                <w:rFonts w:ascii="Arial" w:cs="Arial" w:eastAsia="Arial" w:hAnsi="Arial"/>
                <w:sz w:val="17"/>
                <w:szCs w:val="17"/>
                <w:color w:val="auto"/>
              </w:rPr>
              <w:t>Less: Other income</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(244,974)</w:t>
            </w:r>
          </w:p>
        </w:tc>
        <w:tc>
          <w:tcPr>
            <w:tcW w:w="24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7"/>
                <w:szCs w:val="17"/>
                <w:color w:val="auto"/>
              </w:rPr>
              <w:t>(314,738)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Net underwriting expenses</w:t>
            </w: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10,584,910</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11,396,986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8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Net premiums earned</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26,941,450</w:t>
            </w:r>
          </w:p>
        </w:tc>
        <w:tc>
          <w:tcPr>
            <w:tcW w:w="2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29,595,889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8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Net Underwriting Expense Ratio</w:t>
            </w: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39.3%</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38.5%</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45"/>
        </w:trPr>
        <w:tc>
          <w:tcPr>
            <w:tcW w:w="8680" w:type="dxa"/>
            <w:vAlign w:val="bottom"/>
            <w:tcBorders>
              <w:top w:val="single" w:sz="8" w:color="CCEEFF"/>
              <w:bottom w:val="single" w:sz="8" w:color="auto"/>
            </w:tcBorders>
          </w:tcPr>
          <w:p>
            <w:pPr>
              <w:ind w:left="5540"/>
              <w:spacing w:after="0"/>
              <w:rPr>
                <w:sz w:val="20"/>
                <w:szCs w:val="20"/>
                <w:color w:val="auto"/>
              </w:rPr>
            </w:pPr>
            <w:r>
              <w:rPr>
                <w:rFonts w:ascii="Arial" w:cs="Arial" w:eastAsia="Arial" w:hAnsi="Arial"/>
                <w:sz w:val="17"/>
                <w:szCs w:val="17"/>
                <w:color w:val="auto"/>
              </w:rPr>
              <w:t>45</w:t>
            </w:r>
          </w:p>
        </w:tc>
        <w:tc>
          <w:tcPr>
            <w:tcW w:w="20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754" w:right="319" w:bottom="1440" w:gutter="0" w:footer="0" w:header="0"/>
        </w:sectPr>
      </w:pPr>
    </w:p>
    <w:bookmarkStart w:id="48" w:name="page49"/>
    <w:bookmarkEnd w:id="48"/>
    <w:p>
      <w:pPr>
        <w:ind w:left="640"/>
        <w:spacing w:after="0"/>
        <w:rPr>
          <w:sz w:val="20"/>
          <w:szCs w:val="20"/>
          <w:color w:val="auto"/>
        </w:rPr>
      </w:pPr>
      <w:r>
        <w:rPr>
          <w:rFonts w:ascii="Arial" w:cs="Arial" w:eastAsia="Arial" w:hAnsi="Arial"/>
          <w:sz w:val="17"/>
          <w:szCs w:val="17"/>
          <w:color w:val="auto"/>
        </w:rPr>
        <w:t>An analysis of our direct, assumed and ceded earned premiums, loss and loss adjustment expenses, and loss ratios is shown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7"/>
                <w:szCs w:val="17"/>
                <w:b w:val="1"/>
                <w:bCs w:val="1"/>
                <w:color w:val="auto"/>
              </w:rPr>
              <w:t>Direct</w:t>
            </w:r>
          </w:p>
        </w:tc>
        <w:tc>
          <w:tcPr>
            <w:tcW w:w="16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w w:val="91"/>
              </w:rPr>
              <w:t>Assumed</w:t>
            </w:r>
          </w:p>
        </w:tc>
        <w:tc>
          <w:tcPr>
            <w:tcW w:w="180" w:type="dxa"/>
            <w:vAlign w:val="bottom"/>
          </w:tcPr>
          <w:p>
            <w:pPr>
              <w:spacing w:after="0"/>
              <w:rPr>
                <w:sz w:val="19"/>
                <w:szCs w:val="19"/>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7"/>
                <w:szCs w:val="17"/>
                <w:b w:val="1"/>
                <w:bCs w:val="1"/>
                <w:color w:val="auto"/>
              </w:rPr>
              <w:t>Ceded</w:t>
            </w:r>
          </w:p>
        </w:tc>
        <w:tc>
          <w:tcPr>
            <w:tcW w:w="220" w:type="dxa"/>
            <w:vAlign w:val="bottom"/>
          </w:tcPr>
          <w:p>
            <w:pPr>
              <w:spacing w:after="0"/>
              <w:rPr>
                <w:sz w:val="19"/>
                <w:szCs w:val="19"/>
                <w:color w:val="auto"/>
              </w:rPr>
            </w:pPr>
          </w:p>
        </w:tc>
        <w:tc>
          <w:tcPr>
            <w:tcW w:w="1020" w:type="dxa"/>
            <w:vAlign w:val="bottom"/>
            <w:gridSpan w:val="3"/>
          </w:tcPr>
          <w:p>
            <w:pPr>
              <w:jc w:val="right"/>
              <w:ind w:right="540"/>
              <w:spacing w:after="0"/>
              <w:rPr>
                <w:sz w:val="20"/>
                <w:szCs w:val="20"/>
                <w:color w:val="auto"/>
              </w:rPr>
            </w:pPr>
            <w:r>
              <w:rPr>
                <w:rFonts w:ascii="Arial" w:cs="Arial" w:eastAsia="Arial" w:hAnsi="Arial"/>
                <w:sz w:val="17"/>
                <w:szCs w:val="17"/>
                <w:b w:val="1"/>
                <w:bCs w:val="1"/>
                <w:color w:val="auto"/>
              </w:rPr>
              <w:t>Net</w:t>
            </w:r>
          </w:p>
        </w:tc>
        <w:tc>
          <w:tcPr>
            <w:tcW w:w="0" w:type="dxa"/>
            <w:vAlign w:val="bottom"/>
          </w:tcPr>
          <w:p>
            <w:pPr>
              <w:spacing w:after="0"/>
              <w:rPr>
                <w:sz w:val="1"/>
                <w:szCs w:val="1"/>
                <w:color w:val="auto"/>
              </w:rPr>
            </w:pPr>
          </w:p>
        </w:tc>
      </w:tr>
      <w:tr>
        <w:trPr>
          <w:trHeight w:val="469"/>
        </w:trPr>
        <w:tc>
          <w:tcPr>
            <w:tcW w:w="5980" w:type="dxa"/>
            <w:vAlign w:val="bottom"/>
          </w:tcPr>
          <w:p>
            <w:pPr>
              <w:ind w:left="40"/>
              <w:spacing w:after="0"/>
              <w:rPr>
                <w:sz w:val="20"/>
                <w:szCs w:val="20"/>
                <w:color w:val="auto"/>
              </w:rPr>
            </w:pPr>
            <w:r>
              <w:rPr>
                <w:rFonts w:ascii="Arial" w:cs="Arial" w:eastAsia="Arial" w:hAnsi="Arial"/>
                <w:sz w:val="17"/>
                <w:szCs w:val="17"/>
                <w:b w:val="1"/>
                <w:bCs w:val="1"/>
                <w:color w:val="auto"/>
              </w:rPr>
              <w:t>Three months ended March 31, 2020</w:t>
            </w: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980" w:type="dxa"/>
            <w:vAlign w:val="bottom"/>
            <w:shd w:val="clear" w:color="auto" w:fill="CCEEFF"/>
          </w:tcPr>
          <w:p>
            <w:pPr>
              <w:ind w:left="40"/>
              <w:spacing w:after="0"/>
              <w:rPr>
                <w:sz w:val="20"/>
                <w:szCs w:val="20"/>
                <w:color w:val="auto"/>
              </w:rPr>
            </w:pPr>
            <w:r>
              <w:rPr>
                <w:rFonts w:ascii="Arial" w:cs="Arial" w:eastAsia="Arial" w:hAnsi="Arial"/>
                <w:sz w:val="17"/>
                <w:szCs w:val="17"/>
                <w:color w:val="auto"/>
              </w:rPr>
              <w:t>Written premiums</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36,696,929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7"/>
              </w:rPr>
              <w:t>(13,506,255)</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23,190,674</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ind w:left="40"/>
              <w:spacing w:after="0"/>
              <w:rPr>
                <w:sz w:val="20"/>
                <w:szCs w:val="20"/>
                <w:color w:val="auto"/>
              </w:rPr>
            </w:pPr>
            <w:r>
              <w:rPr>
                <w:rFonts w:ascii="Arial" w:cs="Arial" w:eastAsia="Arial" w:hAnsi="Arial"/>
                <w:sz w:val="17"/>
                <w:szCs w:val="17"/>
                <w:color w:val="auto"/>
              </w:rPr>
              <w:t>Change in unearned premiums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5,904,700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(2,153,924)</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3,750,776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9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5980" w:type="dxa"/>
            <w:vAlign w:val="bottom"/>
            <w:shd w:val="clear" w:color="auto" w:fill="CCEEFF"/>
          </w:tcPr>
          <w:p>
            <w:pPr>
              <w:ind w:left="40"/>
              <w:spacing w:after="0"/>
              <w:rPr>
                <w:sz w:val="20"/>
                <w:szCs w:val="20"/>
                <w:color w:val="auto"/>
              </w:rPr>
            </w:pPr>
            <w:r>
              <w:rPr>
                <w:rFonts w:ascii="Arial" w:cs="Arial" w:eastAsia="Arial" w:hAnsi="Arial"/>
                <w:sz w:val="17"/>
                <w:szCs w:val="17"/>
                <w:color w:val="auto"/>
              </w:rPr>
              <w:t>Earned premiums</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42,601,629</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7"/>
              </w:rPr>
              <w:t>(15,660,179)</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26,941,450</w:t>
            </w:r>
          </w:p>
        </w:tc>
        <w:tc>
          <w:tcPr>
            <w:tcW w:w="1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59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40"/>
              <w:spacing w:after="0"/>
              <w:rPr>
                <w:sz w:val="20"/>
                <w:szCs w:val="20"/>
                <w:color w:val="auto"/>
              </w:rPr>
            </w:pPr>
            <w:r>
              <w:rPr>
                <w:rFonts w:ascii="Arial" w:cs="Arial" w:eastAsia="Arial" w:hAnsi="Arial"/>
                <w:sz w:val="17"/>
                <w:szCs w:val="17"/>
                <w:color w:val="auto"/>
              </w:rPr>
              <w:t>Loss and loss adjustment expenses exluding</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ind w:left="200"/>
              <w:spacing w:after="0"/>
              <w:rPr>
                <w:sz w:val="20"/>
                <w:szCs w:val="20"/>
                <w:color w:val="auto"/>
              </w:rPr>
            </w:pPr>
            <w:r>
              <w:rPr>
                <w:rFonts w:ascii="Arial" w:cs="Arial" w:eastAsia="Arial" w:hAnsi="Arial"/>
                <w:sz w:val="17"/>
                <w:szCs w:val="17"/>
                <w:color w:val="auto"/>
              </w:rPr>
              <w:t>the effect of catastrophes</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21,971,351</w:t>
            </w:r>
          </w:p>
        </w:tc>
        <w:tc>
          <w:tcPr>
            <w:tcW w:w="260" w:type="dxa"/>
            <w:vAlign w:val="bottom"/>
          </w:tcPr>
          <w:p>
            <w:pPr>
              <w:spacing w:after="0"/>
              <w:rPr>
                <w:sz w:val="18"/>
                <w:szCs w:val="18"/>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(5,783,990)</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w w:val="98"/>
              </w:rPr>
              <w:t>16,187,361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40"/>
              <w:spacing w:after="0"/>
              <w:rPr>
                <w:sz w:val="20"/>
                <w:szCs w:val="20"/>
                <w:color w:val="auto"/>
              </w:rPr>
            </w:pPr>
            <w:r>
              <w:rPr>
                <w:rFonts w:ascii="Arial" w:cs="Arial" w:eastAsia="Arial" w:hAnsi="Arial"/>
                <w:sz w:val="17"/>
                <w:szCs w:val="17"/>
                <w:color w:val="auto"/>
              </w:rPr>
              <w:t>Catastrophe loss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281,368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(82,908)</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198,460</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9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ind w:left="40"/>
              <w:spacing w:after="0"/>
              <w:rPr>
                <w:sz w:val="20"/>
                <w:szCs w:val="20"/>
                <w:color w:val="auto"/>
              </w:rPr>
            </w:pPr>
            <w:r>
              <w:rPr>
                <w:rFonts w:ascii="Arial" w:cs="Arial" w:eastAsia="Arial" w:hAnsi="Arial"/>
                <w:sz w:val="17"/>
                <w:szCs w:val="17"/>
                <w:color w:val="auto"/>
              </w:rPr>
              <w:t>Loss and loss adjustment expenses</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22,252,719</w:t>
            </w:r>
          </w:p>
        </w:tc>
        <w:tc>
          <w:tcPr>
            <w:tcW w:w="260" w:type="dxa"/>
            <w:vAlign w:val="bottom"/>
          </w:tcPr>
          <w:p>
            <w:pPr>
              <w:spacing w:after="0"/>
              <w:rPr>
                <w:sz w:val="18"/>
                <w:szCs w:val="18"/>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(5,866,898)</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w w:val="98"/>
              </w:rPr>
              <w:t>16,385,821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40"/>
              <w:spacing w:after="0"/>
              <w:rPr>
                <w:sz w:val="20"/>
                <w:szCs w:val="20"/>
                <w:color w:val="auto"/>
              </w:rPr>
            </w:pPr>
            <w:r>
              <w:rPr>
                <w:rFonts w:ascii="Arial" w:cs="Arial" w:eastAsia="Arial" w:hAnsi="Arial"/>
                <w:sz w:val="17"/>
                <w:szCs w:val="17"/>
                <w:color w:val="auto"/>
              </w:rPr>
              <w:t>Loss ratio excluding the effect of catastrophes</w:t>
            </w:r>
          </w:p>
        </w:tc>
        <w:tc>
          <w:tcPr>
            <w:tcW w:w="2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51.6%</w:t>
            </w:r>
          </w:p>
        </w:tc>
        <w:tc>
          <w:tcPr>
            <w:tcW w:w="160" w:type="dxa"/>
            <w:vAlign w:val="bottom"/>
          </w:tcPr>
          <w:p>
            <w:pPr>
              <w:spacing w:after="0"/>
              <w:rPr>
                <w:sz w:val="20"/>
                <w:szCs w:val="20"/>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7"/>
                <w:szCs w:val="17"/>
                <w:color w:val="auto"/>
              </w:rPr>
              <w:t>na</w:t>
            </w:r>
          </w:p>
        </w:tc>
        <w:tc>
          <w:tcPr>
            <w:tcW w:w="18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36.9%</w:t>
            </w:r>
          </w:p>
        </w:tc>
        <w:tc>
          <w:tcPr>
            <w:tcW w:w="22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7"/>
                <w:szCs w:val="17"/>
                <w:color w:val="auto"/>
              </w:rPr>
              <w:t>60.1%</w:t>
            </w:r>
          </w:p>
        </w:tc>
        <w:tc>
          <w:tcPr>
            <w:tcW w:w="0" w:type="dxa"/>
            <w:vAlign w:val="bottom"/>
          </w:tcPr>
          <w:p>
            <w:pPr>
              <w:spacing w:after="0"/>
              <w:rPr>
                <w:sz w:val="1"/>
                <w:szCs w:val="1"/>
                <w:color w:val="auto"/>
              </w:rPr>
            </w:pPr>
          </w:p>
        </w:tc>
      </w:tr>
      <w:tr>
        <w:trPr>
          <w:trHeight w:val="235"/>
        </w:trPr>
        <w:tc>
          <w:tcPr>
            <w:tcW w:w="5980" w:type="dxa"/>
            <w:vAlign w:val="bottom"/>
            <w:shd w:val="clear" w:color="auto" w:fill="CCEEFF"/>
          </w:tcPr>
          <w:p>
            <w:pPr>
              <w:ind w:left="40"/>
              <w:spacing w:after="0"/>
              <w:rPr>
                <w:sz w:val="20"/>
                <w:szCs w:val="20"/>
                <w:color w:val="auto"/>
              </w:rPr>
            </w:pPr>
            <w:r>
              <w:rPr>
                <w:rFonts w:ascii="Arial" w:cs="Arial" w:eastAsia="Arial" w:hAnsi="Arial"/>
                <w:sz w:val="17"/>
                <w:szCs w:val="17"/>
                <w:color w:val="auto"/>
              </w:rPr>
              <w:t>Catastrophe loss</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0.7%</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720"/>
              <w:spacing w:after="0"/>
              <w:rPr>
                <w:sz w:val="20"/>
                <w:szCs w:val="20"/>
                <w:color w:val="auto"/>
              </w:rPr>
            </w:pPr>
            <w:r>
              <w:rPr>
                <w:rFonts w:ascii="Arial" w:cs="Arial" w:eastAsia="Arial" w:hAnsi="Arial"/>
                <w:sz w:val="17"/>
                <w:szCs w:val="17"/>
                <w:color w:val="auto"/>
              </w:rPr>
              <w:t>na</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0.5%</w:t>
            </w: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980" w:type="dxa"/>
            <w:vAlign w:val="bottom"/>
          </w:tcPr>
          <w:p>
            <w:pPr>
              <w:ind w:left="40"/>
              <w:spacing w:after="0"/>
              <w:rPr>
                <w:sz w:val="20"/>
                <w:szCs w:val="20"/>
                <w:color w:val="auto"/>
              </w:rPr>
            </w:pPr>
            <w:r>
              <w:rPr>
                <w:rFonts w:ascii="Arial" w:cs="Arial" w:eastAsia="Arial" w:hAnsi="Arial"/>
                <w:sz w:val="17"/>
                <w:szCs w:val="17"/>
                <w:color w:val="auto"/>
              </w:rPr>
              <w:t>Loss ratio</w:t>
            </w:r>
          </w:p>
        </w:tc>
        <w:tc>
          <w:tcPr>
            <w:tcW w:w="2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52.2%</w:t>
            </w:r>
          </w:p>
        </w:tc>
        <w:tc>
          <w:tcPr>
            <w:tcW w:w="160" w:type="dxa"/>
            <w:vAlign w:val="bottom"/>
          </w:tcPr>
          <w:p>
            <w:pPr>
              <w:spacing w:after="0"/>
              <w:rPr>
                <w:sz w:val="20"/>
                <w:szCs w:val="20"/>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7"/>
                <w:szCs w:val="17"/>
                <w:color w:val="auto"/>
              </w:rPr>
              <w:t>na</w:t>
            </w:r>
          </w:p>
        </w:tc>
        <w:tc>
          <w:tcPr>
            <w:tcW w:w="18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37.5%</w:t>
            </w:r>
          </w:p>
        </w:tc>
        <w:tc>
          <w:tcPr>
            <w:tcW w:w="22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7"/>
                <w:szCs w:val="17"/>
                <w:color w:val="auto"/>
              </w:rPr>
              <w:t>60.8%</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5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80" w:type="dxa"/>
            <w:vAlign w:val="bottom"/>
          </w:tcPr>
          <w:p>
            <w:pPr>
              <w:ind w:left="40"/>
              <w:spacing w:after="0"/>
              <w:rPr>
                <w:sz w:val="20"/>
                <w:szCs w:val="20"/>
                <w:color w:val="auto"/>
              </w:rPr>
            </w:pPr>
            <w:r>
              <w:rPr>
                <w:rFonts w:ascii="Arial" w:cs="Arial" w:eastAsia="Arial" w:hAnsi="Arial"/>
                <w:sz w:val="17"/>
                <w:szCs w:val="17"/>
                <w:b w:val="1"/>
                <w:bCs w:val="1"/>
                <w:color w:val="auto"/>
              </w:rPr>
              <w:t>Three months ended March 31, 2019</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40"/>
              <w:spacing w:after="0"/>
              <w:rPr>
                <w:sz w:val="20"/>
                <w:szCs w:val="20"/>
                <w:color w:val="auto"/>
              </w:rPr>
            </w:pPr>
            <w:r>
              <w:rPr>
                <w:rFonts w:ascii="Arial" w:cs="Arial" w:eastAsia="Arial" w:hAnsi="Arial"/>
                <w:sz w:val="17"/>
                <w:szCs w:val="17"/>
                <w:color w:val="auto"/>
              </w:rPr>
              <w:t>Written premiums</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37,488,548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(34)</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(7,127,909)</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30,360,605</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ind w:left="40"/>
              <w:spacing w:after="0"/>
              <w:rPr>
                <w:sz w:val="20"/>
                <w:szCs w:val="20"/>
                <w:color w:val="auto"/>
              </w:rPr>
            </w:pPr>
            <w:r>
              <w:rPr>
                <w:rFonts w:ascii="Arial" w:cs="Arial" w:eastAsia="Arial" w:hAnsi="Arial"/>
                <w:sz w:val="17"/>
                <w:szCs w:val="17"/>
                <w:color w:val="auto"/>
              </w:rPr>
              <w:t>Change in unearned premiums</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(628,067)</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195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(136,844)</w:t>
            </w:r>
          </w:p>
        </w:tc>
        <w:tc>
          <w:tcPr>
            <w:tcW w:w="2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7"/>
                <w:szCs w:val="17"/>
                <w:color w:val="auto"/>
              </w:rPr>
              <w:t>(764,716)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9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5980" w:type="dxa"/>
            <w:vAlign w:val="bottom"/>
            <w:shd w:val="clear" w:color="auto" w:fill="CCEEFF"/>
          </w:tcPr>
          <w:p>
            <w:pPr>
              <w:ind w:left="40"/>
              <w:spacing w:after="0"/>
              <w:rPr>
                <w:sz w:val="20"/>
                <w:szCs w:val="20"/>
                <w:color w:val="auto"/>
              </w:rPr>
            </w:pPr>
            <w:r>
              <w:rPr>
                <w:rFonts w:ascii="Arial" w:cs="Arial" w:eastAsia="Arial" w:hAnsi="Arial"/>
                <w:sz w:val="17"/>
                <w:szCs w:val="17"/>
                <w:color w:val="auto"/>
              </w:rPr>
              <w:t>Earned premiums</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36,860,481</w:t>
            </w:r>
          </w:p>
        </w:tc>
        <w:tc>
          <w:tcPr>
            <w:tcW w:w="26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161</w:t>
            </w:r>
          </w:p>
        </w:tc>
        <w:tc>
          <w:tcPr>
            <w:tcW w:w="2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(7,264,753)</w:t>
            </w: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29,595,889</w:t>
            </w:r>
          </w:p>
        </w:tc>
        <w:tc>
          <w:tcPr>
            <w:tcW w:w="12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59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40"/>
              <w:spacing w:after="0"/>
              <w:rPr>
                <w:sz w:val="20"/>
                <w:szCs w:val="20"/>
                <w:color w:val="auto"/>
              </w:rPr>
            </w:pPr>
            <w:r>
              <w:rPr>
                <w:rFonts w:ascii="Arial" w:cs="Arial" w:eastAsia="Arial" w:hAnsi="Arial"/>
                <w:sz w:val="17"/>
                <w:szCs w:val="17"/>
                <w:color w:val="auto"/>
              </w:rPr>
              <w:t>Loss and loss adjustment expenses exluding</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tcPr>
          <w:p>
            <w:pPr>
              <w:ind w:left="200"/>
              <w:spacing w:after="0"/>
              <w:rPr>
                <w:sz w:val="20"/>
                <w:szCs w:val="20"/>
                <w:color w:val="auto"/>
              </w:rPr>
            </w:pPr>
            <w:r>
              <w:rPr>
                <w:rFonts w:ascii="Arial" w:cs="Arial" w:eastAsia="Arial" w:hAnsi="Arial"/>
                <w:sz w:val="17"/>
                <w:szCs w:val="17"/>
                <w:color w:val="auto"/>
              </w:rPr>
              <w:t>the effect of catastrophes</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26,645,777</w:t>
            </w:r>
          </w:p>
        </w:tc>
        <w:tc>
          <w:tcPr>
            <w:tcW w:w="260" w:type="dxa"/>
            <w:vAlign w:val="bottom"/>
          </w:tcPr>
          <w:p>
            <w:pPr>
              <w:spacing w:after="0"/>
              <w:rPr>
                <w:sz w:val="18"/>
                <w:szCs w:val="18"/>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(3,002)</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(2,571,747)</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w w:val="98"/>
              </w:rPr>
              <w:t>24,071,028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40"/>
              <w:spacing w:after="0"/>
              <w:rPr>
                <w:sz w:val="20"/>
                <w:szCs w:val="20"/>
                <w:color w:val="auto"/>
              </w:rPr>
            </w:pPr>
            <w:r>
              <w:rPr>
                <w:rFonts w:ascii="Arial" w:cs="Arial" w:eastAsia="Arial" w:hAnsi="Arial"/>
                <w:sz w:val="17"/>
                <w:szCs w:val="17"/>
                <w:color w:val="auto"/>
              </w:rPr>
              <w:t>Catastrophe loss</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5,627,343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(564,147)</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5,063,196</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9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ind w:left="40"/>
              <w:spacing w:after="0"/>
              <w:rPr>
                <w:sz w:val="20"/>
                <w:szCs w:val="20"/>
                <w:color w:val="auto"/>
              </w:rPr>
            </w:pPr>
            <w:r>
              <w:rPr>
                <w:rFonts w:ascii="Arial" w:cs="Arial" w:eastAsia="Arial" w:hAnsi="Arial"/>
                <w:sz w:val="17"/>
                <w:szCs w:val="17"/>
                <w:color w:val="auto"/>
              </w:rPr>
              <w:t>Loss and loss adjustment expenses</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32,273,120</w:t>
            </w:r>
          </w:p>
        </w:tc>
        <w:tc>
          <w:tcPr>
            <w:tcW w:w="260" w:type="dxa"/>
            <w:vAlign w:val="bottom"/>
          </w:tcPr>
          <w:p>
            <w:pPr>
              <w:spacing w:after="0"/>
              <w:rPr>
                <w:sz w:val="18"/>
                <w:szCs w:val="18"/>
                <w:color w:val="auto"/>
              </w:rPr>
            </w:pP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(3,002)</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(3,135,894)</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w w:val="98"/>
              </w:rPr>
              <w:t>29,134,224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980" w:type="dxa"/>
            <w:vAlign w:val="bottom"/>
          </w:tcPr>
          <w:p>
            <w:pPr>
              <w:ind w:left="40"/>
              <w:spacing w:after="0"/>
              <w:rPr>
                <w:sz w:val="20"/>
                <w:szCs w:val="20"/>
                <w:color w:val="auto"/>
              </w:rPr>
            </w:pPr>
            <w:r>
              <w:rPr>
                <w:rFonts w:ascii="Arial" w:cs="Arial" w:eastAsia="Arial" w:hAnsi="Arial"/>
                <w:sz w:val="17"/>
                <w:szCs w:val="17"/>
                <w:color w:val="auto"/>
              </w:rPr>
              <w:t>Loss ratio excluding the effect of catastrophes</w:t>
            </w: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72.3%</w:t>
            </w: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-1864.6%</w:t>
            </w:r>
          </w:p>
        </w:tc>
        <w:tc>
          <w:tcPr>
            <w:tcW w:w="1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35.4%</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81.3%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40"/>
              <w:spacing w:after="0"/>
              <w:rPr>
                <w:sz w:val="20"/>
                <w:szCs w:val="20"/>
                <w:color w:val="auto"/>
              </w:rPr>
            </w:pPr>
            <w:r>
              <w:rPr>
                <w:rFonts w:ascii="Arial" w:cs="Arial" w:eastAsia="Arial" w:hAnsi="Arial"/>
                <w:sz w:val="17"/>
                <w:szCs w:val="17"/>
                <w:color w:val="auto"/>
              </w:rPr>
              <w:t>Catastrophe loss</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15.3%</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9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ind w:left="40"/>
              <w:spacing w:after="0"/>
              <w:rPr>
                <w:sz w:val="20"/>
                <w:szCs w:val="20"/>
                <w:color w:val="auto"/>
              </w:rPr>
            </w:pPr>
            <w:r>
              <w:rPr>
                <w:rFonts w:ascii="Arial" w:cs="Arial" w:eastAsia="Arial" w:hAnsi="Arial"/>
                <w:sz w:val="17"/>
                <w:szCs w:val="17"/>
                <w:color w:val="auto"/>
              </w:rPr>
              <w:t>Loss ratio</w:t>
            </w: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87.6%</w:t>
            </w:r>
          </w:p>
        </w:tc>
        <w:tc>
          <w:tcPr>
            <w:tcW w:w="16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-1864.6%</w:t>
            </w:r>
          </w:p>
        </w:tc>
        <w:tc>
          <w:tcPr>
            <w:tcW w:w="1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43.2%</w:t>
            </w:r>
          </w:p>
        </w:tc>
        <w:tc>
          <w:tcPr>
            <w:tcW w:w="2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98.4%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3880"/>
        <w:spacing w:after="0"/>
        <w:rPr>
          <w:sz w:val="20"/>
          <w:szCs w:val="20"/>
          <w:color w:val="auto"/>
        </w:rPr>
      </w:pPr>
      <w:r>
        <w:rPr>
          <w:rFonts w:ascii="Arial" w:cs="Arial" w:eastAsia="Arial" w:hAnsi="Arial"/>
          <w:sz w:val="17"/>
          <w:szCs w:val="17"/>
          <w:i w:val="1"/>
          <w:iCs w:val="1"/>
          <w:color w:val="auto"/>
        </w:rPr>
        <w:t>(Percent components may not sum to totals due to rounding)</w:t>
      </w: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60"/>
          </w:cols>
          <w:pgMar w:left="320" w:top="575" w:right="319" w:bottom="1440" w:gutter="0" w:footer="0" w:header="0"/>
        </w:sectPr>
      </w:pPr>
    </w:p>
    <w:bookmarkStart w:id="49" w:name="page50"/>
    <w:bookmarkEnd w:id="49"/>
    <w:p>
      <w:pPr>
        <w:ind w:left="640"/>
        <w:spacing w:after="0"/>
        <w:rPr>
          <w:sz w:val="20"/>
          <w:szCs w:val="20"/>
          <w:color w:val="auto"/>
        </w:rPr>
      </w:pPr>
      <w:r>
        <w:rPr>
          <w:rFonts w:ascii="Arial" w:cs="Arial" w:eastAsia="Arial" w:hAnsi="Arial"/>
          <w:sz w:val="17"/>
          <w:szCs w:val="17"/>
          <w:color w:val="auto"/>
        </w:rPr>
        <w:t>The key measures for our insurance underwriting business for the periods indicated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99"/>
        </w:trPr>
        <w:tc>
          <w:tcPr>
            <w:tcW w:w="86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86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8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40"/>
              <w:spacing w:after="0"/>
              <w:rPr>
                <w:sz w:val="20"/>
                <w:szCs w:val="20"/>
                <w:color w:val="auto"/>
              </w:rPr>
            </w:pPr>
            <w:r>
              <w:rPr>
                <w:rFonts w:ascii="Arial" w:cs="Arial" w:eastAsia="Arial" w:hAnsi="Arial"/>
                <w:sz w:val="17"/>
                <w:szCs w:val="17"/>
                <w:color w:val="auto"/>
              </w:rPr>
              <w:t>Net premiums earned</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26,941,450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29,595,889</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Pr>
          <w:p>
            <w:pPr>
              <w:ind w:left="40"/>
              <w:spacing w:after="0"/>
              <w:rPr>
                <w:sz w:val="20"/>
                <w:szCs w:val="20"/>
                <w:color w:val="auto"/>
              </w:rPr>
            </w:pPr>
            <w:r>
              <w:rPr>
                <w:rFonts w:ascii="Arial" w:cs="Arial" w:eastAsia="Arial" w:hAnsi="Arial"/>
                <w:sz w:val="17"/>
                <w:szCs w:val="17"/>
                <w:color w:val="auto"/>
              </w:rPr>
              <w:t>Ceding commission revenue</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3,831,099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1,277,683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40"/>
              <w:spacing w:after="0"/>
              <w:rPr>
                <w:sz w:val="20"/>
                <w:szCs w:val="20"/>
                <w:color w:val="auto"/>
              </w:rPr>
            </w:pPr>
            <w:r>
              <w:rPr>
                <w:rFonts w:ascii="Arial" w:cs="Arial" w:eastAsia="Arial" w:hAnsi="Arial"/>
                <w:sz w:val="17"/>
                <w:szCs w:val="17"/>
                <w:color w:val="auto"/>
              </w:rPr>
              <w:t>Other income</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244,974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314,738</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40"/>
              <w:spacing w:after="0"/>
              <w:rPr>
                <w:sz w:val="20"/>
                <w:szCs w:val="20"/>
                <w:color w:val="auto"/>
              </w:rPr>
            </w:pPr>
            <w:r>
              <w:rPr>
                <w:rFonts w:ascii="Arial" w:cs="Arial" w:eastAsia="Arial" w:hAnsi="Arial"/>
                <w:sz w:val="17"/>
                <w:szCs w:val="17"/>
                <w:color w:val="auto"/>
              </w:rPr>
              <w:t>Loss and loss adjustment expenses (1)</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16,385,821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29,134,224</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40"/>
              <w:spacing w:after="0"/>
              <w:rPr>
                <w:sz w:val="20"/>
                <w:szCs w:val="20"/>
                <w:color w:val="auto"/>
              </w:rPr>
            </w:pPr>
            <w:r>
              <w:rPr>
                <w:rFonts w:ascii="Arial" w:cs="Arial" w:eastAsia="Arial" w:hAnsi="Arial"/>
                <w:sz w:val="17"/>
                <w:szCs w:val="17"/>
                <w:color w:val="auto"/>
              </w:rPr>
              <w:t>Acquisition costs and other underwriting expenses: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Pr>
          <w:p>
            <w:pPr>
              <w:ind w:left="200"/>
              <w:spacing w:after="0"/>
              <w:rPr>
                <w:sz w:val="20"/>
                <w:szCs w:val="20"/>
                <w:color w:val="auto"/>
              </w:rPr>
            </w:pPr>
            <w:r>
              <w:rPr>
                <w:rFonts w:ascii="Arial" w:cs="Arial" w:eastAsia="Arial" w:hAnsi="Arial"/>
                <w:sz w:val="17"/>
                <w:szCs w:val="17"/>
                <w:color w:val="auto"/>
              </w:rPr>
              <w:t>Commission expense</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7,899,191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6,853,416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Other underwriting expenses</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6,761,792</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6,135,991</w:t>
            </w: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Pr>
          <w:p>
            <w:pPr>
              <w:ind w:left="40"/>
              <w:spacing w:after="0"/>
              <w:rPr>
                <w:sz w:val="20"/>
                <w:szCs w:val="20"/>
                <w:color w:val="auto"/>
              </w:rPr>
            </w:pPr>
            <w:r>
              <w:rPr>
                <w:rFonts w:ascii="Arial" w:cs="Arial" w:eastAsia="Arial" w:hAnsi="Arial"/>
                <w:sz w:val="17"/>
                <w:szCs w:val="17"/>
                <w:color w:val="auto"/>
              </w:rPr>
              <w:t>Total acquisition costs and other</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underwriting expenses</w:t>
            </w: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14,660,983</w:t>
            </w: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12,989,407</w:t>
            </w: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40"/>
              <w:spacing w:after="0"/>
              <w:rPr>
                <w:sz w:val="20"/>
                <w:szCs w:val="20"/>
                <w:color w:val="auto"/>
              </w:rPr>
            </w:pPr>
            <w:r>
              <w:rPr>
                <w:rFonts w:ascii="Arial" w:cs="Arial" w:eastAsia="Arial" w:hAnsi="Arial"/>
                <w:sz w:val="17"/>
                <w:szCs w:val="17"/>
                <w:color w:val="auto"/>
              </w:rPr>
              <w:t>Underwriting loss</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(29,281)</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5"/>
              </w:rPr>
              <w:t>(10,935,321)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86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40"/>
              <w:spacing w:after="0"/>
              <w:rPr>
                <w:sz w:val="20"/>
                <w:szCs w:val="20"/>
                <w:color w:val="auto"/>
              </w:rPr>
            </w:pPr>
            <w:r>
              <w:rPr>
                <w:rFonts w:ascii="Arial" w:cs="Arial" w:eastAsia="Arial" w:hAnsi="Arial"/>
                <w:sz w:val="17"/>
                <w:szCs w:val="17"/>
                <w:color w:val="auto"/>
              </w:rPr>
              <w:t>Key Measures:</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Pr>
          <w:p>
            <w:pPr>
              <w:ind w:left="200"/>
              <w:spacing w:after="0"/>
              <w:rPr>
                <w:sz w:val="20"/>
                <w:szCs w:val="20"/>
                <w:color w:val="auto"/>
              </w:rPr>
            </w:pPr>
            <w:r>
              <w:rPr>
                <w:rFonts w:ascii="Arial" w:cs="Arial" w:eastAsia="Arial" w:hAnsi="Arial"/>
                <w:sz w:val="17"/>
                <w:szCs w:val="17"/>
                <w:color w:val="auto"/>
              </w:rPr>
              <w:t>Net loss ratio excluding the effect of catastrophes</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60.1%</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81.3%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Effect of catastrophe loss on net loss ratio (1)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6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8680" w:type="dxa"/>
            <w:vAlign w:val="bottom"/>
          </w:tcPr>
          <w:p>
            <w:pPr>
              <w:ind w:left="200"/>
              <w:spacing w:after="0"/>
              <w:rPr>
                <w:sz w:val="20"/>
                <w:szCs w:val="20"/>
                <w:color w:val="auto"/>
              </w:rPr>
            </w:pPr>
            <w:r>
              <w:rPr>
                <w:rFonts w:ascii="Arial" w:cs="Arial" w:eastAsia="Arial" w:hAnsi="Arial"/>
                <w:sz w:val="17"/>
                <w:szCs w:val="17"/>
                <w:color w:val="auto"/>
              </w:rPr>
              <w:t>Net loss ratio</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60.8%</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98.4%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Pr>
          <w:p>
            <w:pPr>
              <w:ind w:left="200"/>
              <w:spacing w:after="0"/>
              <w:rPr>
                <w:sz w:val="20"/>
                <w:szCs w:val="20"/>
                <w:color w:val="auto"/>
              </w:rPr>
            </w:pPr>
            <w:r>
              <w:rPr>
                <w:rFonts w:ascii="Arial" w:cs="Arial" w:eastAsia="Arial" w:hAnsi="Arial"/>
                <w:sz w:val="17"/>
                <w:szCs w:val="17"/>
                <w:color w:val="auto"/>
              </w:rPr>
              <w:t>Net underwriting expense ratio excluding the</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effect of catastrophes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39.3%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Pr>
          <w:p>
            <w:pPr>
              <w:ind w:left="200"/>
              <w:spacing w:after="0"/>
              <w:rPr>
                <w:sz w:val="20"/>
                <w:szCs w:val="20"/>
                <w:color w:val="auto"/>
              </w:rPr>
            </w:pPr>
            <w:r>
              <w:rPr>
                <w:rFonts w:ascii="Arial" w:cs="Arial" w:eastAsia="Arial" w:hAnsi="Arial"/>
                <w:sz w:val="17"/>
                <w:szCs w:val="17"/>
                <w:color w:val="auto"/>
              </w:rPr>
              <w:t>Effect of catastrophe loss on net underwriting</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expense ratio</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6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8680" w:type="dxa"/>
            <w:vAlign w:val="bottom"/>
          </w:tcPr>
          <w:p>
            <w:pPr>
              <w:ind w:left="200"/>
              <w:spacing w:after="0"/>
              <w:rPr>
                <w:sz w:val="20"/>
                <w:szCs w:val="20"/>
                <w:color w:val="auto"/>
              </w:rPr>
            </w:pPr>
            <w:r>
              <w:rPr>
                <w:rFonts w:ascii="Arial" w:cs="Arial" w:eastAsia="Arial" w:hAnsi="Arial"/>
                <w:sz w:val="17"/>
                <w:szCs w:val="17"/>
                <w:color w:val="auto"/>
              </w:rPr>
              <w:t>Net underwriting expense ratio</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39.3%</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38.5%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Pr>
          <w:p>
            <w:pPr>
              <w:ind w:left="200"/>
              <w:spacing w:after="0"/>
              <w:rPr>
                <w:sz w:val="20"/>
                <w:szCs w:val="20"/>
                <w:color w:val="auto"/>
              </w:rPr>
            </w:pPr>
            <w:r>
              <w:rPr>
                <w:rFonts w:ascii="Arial" w:cs="Arial" w:eastAsia="Arial" w:hAnsi="Arial"/>
                <w:sz w:val="17"/>
                <w:szCs w:val="17"/>
                <w:color w:val="auto"/>
              </w:rPr>
              <w:t>Net combined ratio excluding the effect</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of catastrophes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99.4%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Pr>
          <w:p>
            <w:pPr>
              <w:ind w:left="200"/>
              <w:spacing w:after="0"/>
              <w:rPr>
                <w:sz w:val="20"/>
                <w:szCs w:val="20"/>
                <w:color w:val="auto"/>
              </w:rPr>
            </w:pPr>
            <w:r>
              <w:rPr>
                <w:rFonts w:ascii="Arial" w:cs="Arial" w:eastAsia="Arial" w:hAnsi="Arial"/>
                <w:sz w:val="17"/>
                <w:szCs w:val="17"/>
                <w:color w:val="auto"/>
              </w:rPr>
              <w:t>Effect of catastrophe loss on net combined</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ratio (1)</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6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8680" w:type="dxa"/>
            <w:vAlign w:val="bottom"/>
          </w:tcPr>
          <w:p>
            <w:pPr>
              <w:ind w:left="200"/>
              <w:spacing w:after="0"/>
              <w:rPr>
                <w:sz w:val="20"/>
                <w:szCs w:val="20"/>
                <w:color w:val="auto"/>
              </w:rPr>
            </w:pPr>
            <w:r>
              <w:rPr>
                <w:rFonts w:ascii="Arial" w:cs="Arial" w:eastAsia="Arial" w:hAnsi="Arial"/>
                <w:sz w:val="17"/>
                <w:szCs w:val="17"/>
                <w:color w:val="auto"/>
              </w:rPr>
              <w:t>Net combined ratio</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100.1%</w:t>
            </w: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136.9%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680" w:type="dxa"/>
            <w:vAlign w:val="bottom"/>
          </w:tcPr>
          <w:p>
            <w:pPr>
              <w:ind w:left="200"/>
              <w:spacing w:after="0"/>
              <w:rPr>
                <w:sz w:val="20"/>
                <w:szCs w:val="20"/>
                <w:color w:val="auto"/>
              </w:rPr>
            </w:pPr>
            <w:r>
              <w:rPr>
                <w:rFonts w:ascii="Arial" w:cs="Arial" w:eastAsia="Arial" w:hAnsi="Arial"/>
                <w:sz w:val="17"/>
                <w:szCs w:val="17"/>
                <w:color w:val="auto"/>
              </w:rPr>
              <w:t>Reconciliation of net underwriting expense ratio:</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Acquisition costs and other</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tcPr>
          <w:p>
            <w:pPr>
              <w:ind w:left="360"/>
              <w:spacing w:after="0"/>
              <w:rPr>
                <w:sz w:val="20"/>
                <w:szCs w:val="20"/>
                <w:color w:val="auto"/>
              </w:rPr>
            </w:pPr>
            <w:r>
              <w:rPr>
                <w:rFonts w:ascii="Arial" w:cs="Arial" w:eastAsia="Arial" w:hAnsi="Arial"/>
                <w:sz w:val="17"/>
                <w:szCs w:val="17"/>
                <w:color w:val="auto"/>
              </w:rPr>
              <w:t>underwriting expenses</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14,660,983</w:t>
            </w:r>
          </w:p>
        </w:tc>
        <w:tc>
          <w:tcPr>
            <w:tcW w:w="260" w:type="dxa"/>
            <w:vAlign w:val="bottom"/>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12,989,407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Less: Ceding commission revenue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(3,831,099)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(1,277,683)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80" w:type="dxa"/>
            <w:vAlign w:val="bottom"/>
          </w:tcPr>
          <w:p>
            <w:pPr>
              <w:ind w:left="200"/>
              <w:spacing w:after="0"/>
              <w:rPr>
                <w:sz w:val="20"/>
                <w:szCs w:val="20"/>
                <w:color w:val="auto"/>
              </w:rPr>
            </w:pPr>
            <w:r>
              <w:rPr>
                <w:rFonts w:ascii="Arial" w:cs="Arial" w:eastAsia="Arial" w:hAnsi="Arial"/>
                <w:sz w:val="17"/>
                <w:szCs w:val="17"/>
                <w:color w:val="auto"/>
              </w:rPr>
              <w:t>Less: Other income</w:t>
            </w: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color w:val="auto"/>
              </w:rPr>
              <w:t>(244,974)</w:t>
            </w:r>
          </w:p>
        </w:tc>
        <w:tc>
          <w:tcPr>
            <w:tcW w:w="2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(314,738)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10,584,910</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11,396,986</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8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Net earned premium</w:t>
            </w: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26,941,450</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29,595,889</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8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ind w:left="40"/>
              <w:spacing w:after="0"/>
              <w:rPr>
                <w:sz w:val="20"/>
                <w:szCs w:val="20"/>
                <w:color w:val="auto"/>
              </w:rPr>
            </w:pPr>
            <w:r>
              <w:rPr>
                <w:rFonts w:ascii="Arial" w:cs="Arial" w:eastAsia="Arial" w:hAnsi="Arial"/>
                <w:sz w:val="17"/>
                <w:szCs w:val="17"/>
                <w:color w:val="auto"/>
              </w:rPr>
              <w:t>Net Underwriting Expense Ratio</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39.3%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20" w:firstLine="5"/>
        <w:spacing w:after="0" w:line="281" w:lineRule="auto"/>
        <w:tabs>
          <w:tab w:leader="none" w:pos="256" w:val="left"/>
        </w:tabs>
        <w:numPr>
          <w:ilvl w:val="0"/>
          <w:numId w:val="11"/>
        </w:numPr>
        <w:rPr>
          <w:rFonts w:ascii="Arial" w:cs="Arial" w:eastAsia="Arial" w:hAnsi="Arial"/>
          <w:sz w:val="17"/>
          <w:szCs w:val="17"/>
          <w:color w:val="auto"/>
        </w:rPr>
      </w:pPr>
      <w:r>
        <w:rPr>
          <w:rFonts w:ascii="Arial" w:cs="Arial" w:eastAsia="Arial" w:hAnsi="Arial"/>
          <w:sz w:val="17"/>
          <w:szCs w:val="17"/>
          <w:color w:val="auto"/>
        </w:rPr>
        <w:t>For the three months ended March 31, 2020 and 2019, includes the sum of net catastrophe losses and loss adjustment expenses of $198,460 and $5,063,196, respectively.</w:t>
      </w: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60"/>
          </w:cols>
          <w:pgMar w:left="320" w:top="575" w:right="319"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color w:val="auto"/>
        </w:rPr>
        <w:t>Investments</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Portfolio Summary</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auto"/>
        </w:rPr>
        <w:t>Fixed-Maturity Securities</w:t>
      </w:r>
    </w:p>
    <w:p>
      <w:pPr>
        <w:spacing w:after="0" w:line="223" w:lineRule="exact"/>
        <w:rPr>
          <w:sz w:val="20"/>
          <w:szCs w:val="20"/>
          <w:color w:val="auto"/>
        </w:rPr>
      </w:pPr>
    </w:p>
    <w:p>
      <w:pPr>
        <w:ind w:right="180" w:firstLine="627"/>
        <w:spacing w:after="0" w:line="281" w:lineRule="auto"/>
        <w:rPr>
          <w:sz w:val="20"/>
          <w:szCs w:val="20"/>
          <w:color w:val="auto"/>
        </w:rPr>
      </w:pPr>
      <w:r>
        <w:rPr>
          <w:rFonts w:ascii="Arial" w:cs="Arial" w:eastAsia="Arial" w:hAnsi="Arial"/>
          <w:sz w:val="17"/>
          <w:szCs w:val="17"/>
          <w:color w:val="auto"/>
        </w:rPr>
        <w:t>The following table presents a breakdown of the amortized cost, estimated fair value, and unrealized gains and losses of our investments in fixed-maturity securities classified as available-for-sale as of March 31, 2020 and December 31, 2019: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Cost or</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4"/>
                <w:szCs w:val="14"/>
                <w:b w:val="1"/>
                <w:bCs w:val="1"/>
                <w:color w:val="auto"/>
              </w:rPr>
              <w:t>Gross Unrealized Losses</w:t>
            </w: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Estimated</w:t>
            </w: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225"/>
        </w:trPr>
        <w:tc>
          <w:tcPr>
            <w:tcW w:w="450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Categor</w:t>
            </w:r>
            <w:r>
              <w:rPr>
                <w:rFonts w:ascii="Arial" w:cs="Arial" w:eastAsia="Arial" w:hAnsi="Arial"/>
                <w:sz w:val="17"/>
                <w:szCs w:val="17"/>
                <w:color w:val="auto"/>
              </w:rPr>
              <w:t>y</w:t>
            </w:r>
          </w:p>
        </w:tc>
        <w:tc>
          <w:tcPr>
            <w:tcW w:w="120" w:type="dxa"/>
            <w:vAlign w:val="bottom"/>
          </w:tcPr>
          <w:p>
            <w:pPr>
              <w:spacing w:after="0"/>
              <w:rPr>
                <w:sz w:val="19"/>
                <w:szCs w:val="19"/>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9"/>
              </w:rPr>
              <w:t>Less than 12</w:t>
            </w:r>
          </w:p>
        </w:tc>
        <w:tc>
          <w:tcPr>
            <w:tcW w:w="80" w:type="dxa"/>
            <w:vAlign w:val="bottom"/>
          </w:tcPr>
          <w:p>
            <w:pPr>
              <w:spacing w:after="0"/>
              <w:rPr>
                <w:sz w:val="19"/>
                <w:szCs w:val="19"/>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9"/>
              </w:rPr>
              <w:t>More than 12</w:t>
            </w:r>
          </w:p>
        </w:tc>
        <w:tc>
          <w:tcPr>
            <w:tcW w:w="12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Fair</w:t>
            </w: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9"/>
        </w:trPr>
        <w:tc>
          <w:tcPr>
            <w:tcW w:w="45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Cos</w:t>
            </w:r>
            <w:r>
              <w:rPr>
                <w:rFonts w:ascii="Arial" w:cs="Arial" w:eastAsia="Arial" w:hAnsi="Arial"/>
                <w:sz w:val="14"/>
                <w:szCs w:val="14"/>
                <w:color w:val="auto"/>
                <w:w w:val="92"/>
              </w:rPr>
              <w:t>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Months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Months</w:t>
            </w: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35"/>
        </w:trPr>
        <w:tc>
          <w:tcPr>
            <w:tcW w:w="45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w w:val="99"/>
              </w:rPr>
              <w:t>U.S. Treasury securities and obligations of U.S. government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corporations and agencies</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  5,033,879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102,361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  5,136,240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500" w:type="dxa"/>
            <w:vAlign w:val="bottom"/>
            <w:shd w:val="clear" w:color="auto" w:fill="CCEEFF"/>
          </w:tcPr>
          <w:p>
            <w:pPr>
              <w:ind w:left="60"/>
              <w:spacing w:after="0"/>
              <w:rPr>
                <w:sz w:val="20"/>
                <w:szCs w:val="20"/>
                <w:color w:val="auto"/>
              </w:rPr>
            </w:pPr>
            <w:r>
              <w:rPr>
                <w:rFonts w:ascii="Arial" w:cs="Arial" w:eastAsia="Arial" w:hAnsi="Arial"/>
                <w:sz w:val="17"/>
                <w:szCs w:val="17"/>
                <w:color w:val="auto"/>
              </w:rPr>
              <w:t>Political subdivisions of States,</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500" w:type="dxa"/>
            <w:vAlign w:val="bottom"/>
          </w:tcPr>
          <w:p>
            <w:pPr>
              <w:ind w:left="40"/>
              <w:spacing w:after="0"/>
              <w:rPr>
                <w:sz w:val="20"/>
                <w:szCs w:val="20"/>
                <w:color w:val="auto"/>
              </w:rPr>
            </w:pPr>
            <w:r>
              <w:rPr>
                <w:rFonts w:ascii="Arial" w:cs="Arial" w:eastAsia="Arial" w:hAnsi="Arial"/>
                <w:sz w:val="17"/>
                <w:szCs w:val="17"/>
                <w:color w:val="auto"/>
              </w:rPr>
              <w:t>Territories and Possessions</w:t>
            </w:r>
          </w:p>
        </w:tc>
        <w:tc>
          <w:tcPr>
            <w:tcW w:w="1120" w:type="dxa"/>
            <w:vAlign w:val="bottom"/>
            <w:gridSpan w:val="3"/>
          </w:tcPr>
          <w:p>
            <w:pPr>
              <w:jc w:val="right"/>
              <w:ind w:right="100"/>
              <w:spacing w:after="0"/>
              <w:rPr>
                <w:sz w:val="20"/>
                <w:szCs w:val="20"/>
                <w:color w:val="auto"/>
              </w:rPr>
            </w:pPr>
            <w:r>
              <w:rPr>
                <w:rFonts w:ascii="Arial" w:cs="Arial" w:eastAsia="Arial" w:hAnsi="Arial"/>
                <w:sz w:val="17"/>
                <w:szCs w:val="17"/>
                <w:color w:val="auto"/>
              </w:rPr>
              <w:t>9,139,221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275,738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40" w:type="dxa"/>
            <w:vAlign w:val="bottom"/>
            <w:gridSpan w:val="3"/>
          </w:tcPr>
          <w:p>
            <w:pPr>
              <w:jc w:val="right"/>
              <w:ind w:right="240"/>
              <w:spacing w:after="0"/>
              <w:rPr>
                <w:sz w:val="20"/>
                <w:szCs w:val="20"/>
                <w:color w:val="auto"/>
              </w:rPr>
            </w:pPr>
            <w:r>
              <w:rPr>
                <w:rFonts w:ascii="Arial" w:cs="Arial" w:eastAsia="Arial" w:hAnsi="Arial"/>
                <w:sz w:val="17"/>
                <w:szCs w:val="17"/>
                <w:color w:val="auto"/>
              </w:rPr>
              <w:t>9,414,959</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Pr>
          <w:p>
            <w:pPr>
              <w:spacing w:after="0"/>
              <w:rPr>
                <w:sz w:val="20"/>
                <w:szCs w:val="20"/>
                <w:color w:val="auto"/>
              </w:rPr>
            </w:pPr>
            <w:r>
              <w:rPr>
                <w:rFonts w:ascii="Arial" w:cs="Arial" w:eastAsia="Arial" w:hAnsi="Arial"/>
                <w:sz w:val="17"/>
                <w:szCs w:val="17"/>
                <w:color w:val="auto"/>
              </w:rPr>
              <w:t>Corporate and other bonds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Industrial and miscellaneous</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112,871,652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2,876,429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8"/>
              </w:rPr>
              <w:t>(2,258,459)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113,489,622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500" w:type="dxa"/>
            <w:vAlign w:val="bottom"/>
            <w:shd w:val="clear" w:color="auto" w:fill="CCEEFF"/>
          </w:tcPr>
          <w:p>
            <w:pPr>
              <w:ind w:left="60"/>
              <w:spacing w:after="0"/>
              <w:rPr>
                <w:sz w:val="20"/>
                <w:szCs w:val="20"/>
                <w:color w:val="auto"/>
              </w:rPr>
            </w:pPr>
            <w:r>
              <w:rPr>
                <w:rFonts w:ascii="Arial" w:cs="Arial" w:eastAsia="Arial" w:hAnsi="Arial"/>
                <w:sz w:val="17"/>
                <w:szCs w:val="17"/>
                <w:color w:val="auto"/>
              </w:rPr>
              <w:t>Residential mortgage and other</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500" w:type="dxa"/>
            <w:vAlign w:val="bottom"/>
          </w:tcPr>
          <w:p>
            <w:pPr>
              <w:ind w:left="40"/>
              <w:spacing w:after="0"/>
              <w:rPr>
                <w:sz w:val="20"/>
                <w:szCs w:val="20"/>
                <w:color w:val="auto"/>
              </w:rPr>
            </w:pPr>
            <w:r>
              <w:rPr>
                <w:rFonts w:ascii="Arial" w:cs="Arial" w:eastAsia="Arial" w:hAnsi="Arial"/>
                <w:sz w:val="17"/>
                <w:szCs w:val="17"/>
                <w:color w:val="auto"/>
              </w:rPr>
              <w:t>asset backed securities (1)</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25,631,027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292,497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(938,478)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w w:val="94"/>
              </w:rPr>
              <w:t>(1,145,973)</w:t>
            </w:r>
          </w:p>
        </w:tc>
        <w:tc>
          <w:tcPr>
            <w:tcW w:w="1240" w:type="dxa"/>
            <w:vAlign w:val="bottom"/>
            <w:gridSpan w:val="3"/>
          </w:tcPr>
          <w:p>
            <w:pPr>
              <w:jc w:val="right"/>
              <w:ind w:right="240"/>
              <w:spacing w:after="0"/>
              <w:rPr>
                <w:sz w:val="20"/>
                <w:szCs w:val="20"/>
                <w:color w:val="auto"/>
              </w:rPr>
            </w:pPr>
            <w:r>
              <w:rPr>
                <w:rFonts w:ascii="Arial" w:cs="Arial" w:eastAsia="Arial" w:hAnsi="Arial"/>
                <w:sz w:val="17"/>
                <w:szCs w:val="17"/>
                <w:color w:val="auto"/>
              </w:rPr>
              <w:t>23,839,073</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15.7%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0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u w:val="single" w:color="auto"/>
                <w:color w:val="auto"/>
                <w:w w:val="96"/>
              </w:rPr>
              <w:t>$</w:t>
            </w:r>
            <w:r>
              <w:rPr>
                <w:rFonts w:ascii="Arial" w:cs="Arial" w:eastAsia="Arial" w:hAnsi="Arial"/>
                <w:sz w:val="17"/>
                <w:szCs w:val="17"/>
                <w:color w:val="auto"/>
                <w:w w:val="96"/>
              </w:rPr>
              <w:t>152,675,779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3,547,025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8"/>
              </w:rPr>
              <w:t>(3,196,937)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4"/>
              </w:rPr>
              <w:t>(1,145,973)</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u w:val="single" w:color="auto"/>
                <w:color w:val="auto"/>
                <w:w w:val="96"/>
              </w:rPr>
              <w:t>$</w:t>
            </w:r>
            <w:r>
              <w:rPr>
                <w:rFonts w:ascii="Arial" w:cs="Arial" w:eastAsia="Arial" w:hAnsi="Arial"/>
                <w:sz w:val="17"/>
                <w:szCs w:val="17"/>
                <w:color w:val="auto"/>
                <w:w w:val="96"/>
              </w:rPr>
              <w:t>151,879,894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left="640" w:right="40" w:hanging="322"/>
        <w:spacing w:after="0" w:line="286" w:lineRule="auto"/>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KICO has placed certain residential mortgage backed securities as eligible collateral in a designated custodian account related to its membership in the Federal Home Loan Bank of New York ("FHLBNY"). The eligible collateral would be pledged to FHLBNY if KICO draws an advance from the FHLBNY credit line. As of March 31, 2020, the estimated fair value of the eligible investments was approximately $7,287,000. KICO will retain all rights regarding all securities if pledged as collateral. As of March 31, 2020, there was no outstanding balance on the FHLBNY credit line.</w:t>
      </w:r>
    </w:p>
    <w:p>
      <w:pPr>
        <w:spacing w:after="0" w:line="37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80"/>
          </w:cols>
          <w:pgMar w:left="320" w:top="545" w:right="29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76"/>
        </w:trPr>
        <w:tc>
          <w:tcPr>
            <w:tcW w:w="45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Cost or</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4"/>
                <w:szCs w:val="14"/>
                <w:b w:val="1"/>
                <w:bCs w:val="1"/>
                <w:color w:val="auto"/>
              </w:rPr>
              <w:t>Gross Unrealized Losses</w:t>
            </w:r>
          </w:p>
        </w:tc>
        <w:tc>
          <w:tcPr>
            <w:tcW w:w="1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Estimated</w:t>
            </w: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225"/>
        </w:trPr>
        <w:tc>
          <w:tcPr>
            <w:tcW w:w="450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Categor</w:t>
            </w:r>
            <w:r>
              <w:rPr>
                <w:rFonts w:ascii="Arial" w:cs="Arial" w:eastAsia="Arial" w:hAnsi="Arial"/>
                <w:sz w:val="17"/>
                <w:szCs w:val="17"/>
                <w:color w:val="auto"/>
              </w:rPr>
              <w:t>y</w:t>
            </w:r>
          </w:p>
        </w:tc>
        <w:tc>
          <w:tcPr>
            <w:tcW w:w="120" w:type="dxa"/>
            <w:vAlign w:val="bottom"/>
          </w:tcPr>
          <w:p>
            <w:pPr>
              <w:spacing w:after="0"/>
              <w:rPr>
                <w:sz w:val="19"/>
                <w:szCs w:val="19"/>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9"/>
              </w:rPr>
              <w:t>Less than 12</w:t>
            </w:r>
          </w:p>
        </w:tc>
        <w:tc>
          <w:tcPr>
            <w:tcW w:w="80" w:type="dxa"/>
            <w:vAlign w:val="bottom"/>
          </w:tcPr>
          <w:p>
            <w:pPr>
              <w:spacing w:after="0"/>
              <w:rPr>
                <w:sz w:val="19"/>
                <w:szCs w:val="19"/>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9"/>
              </w:rPr>
              <w:t>More than 12</w:t>
            </w:r>
          </w:p>
        </w:tc>
        <w:tc>
          <w:tcPr>
            <w:tcW w:w="12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Fair</w:t>
            </w: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99"/>
        </w:trPr>
        <w:tc>
          <w:tcPr>
            <w:tcW w:w="45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Cos</w:t>
            </w:r>
            <w:r>
              <w:rPr>
                <w:rFonts w:ascii="Arial" w:cs="Arial" w:eastAsia="Arial" w:hAnsi="Arial"/>
                <w:sz w:val="14"/>
                <w:szCs w:val="14"/>
                <w:color w:val="auto"/>
                <w:w w:val="92"/>
              </w:rPr>
              <w:t>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Months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Months</w:t>
            </w: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468"/>
        </w:trPr>
        <w:tc>
          <w:tcPr>
            <w:tcW w:w="450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U.S. Treasury securities and</w:t>
            </w: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4500" w:type="dxa"/>
            <w:vAlign w:val="bottom"/>
          </w:tcPr>
          <w:p>
            <w:pPr>
              <w:ind w:left="40"/>
              <w:spacing w:after="0"/>
              <w:rPr>
                <w:sz w:val="20"/>
                <w:szCs w:val="20"/>
                <w:color w:val="auto"/>
              </w:rPr>
            </w:pPr>
            <w:r>
              <w:rPr>
                <w:rFonts w:ascii="Arial" w:cs="Arial" w:eastAsia="Arial" w:hAnsi="Arial"/>
                <w:sz w:val="17"/>
                <w:szCs w:val="17"/>
                <w:color w:val="auto"/>
              </w:rPr>
              <w:t>obligations of U.S. government</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50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corporations and agencies</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  7,037,856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23,244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8"/>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  7,061,100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Political subdivisions of States,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Pr>
          <w:p>
            <w:pPr>
              <w:ind w:left="40"/>
              <w:spacing w:after="0"/>
              <w:rPr>
                <w:sz w:val="20"/>
                <w:szCs w:val="20"/>
                <w:color w:val="auto"/>
              </w:rPr>
            </w:pPr>
            <w:r>
              <w:rPr>
                <w:rFonts w:ascii="Arial" w:cs="Arial" w:eastAsia="Arial" w:hAnsi="Arial"/>
                <w:sz w:val="17"/>
                <w:szCs w:val="17"/>
                <w:color w:val="auto"/>
              </w:rPr>
              <w:t>Territories and Possessions</w:t>
            </w:r>
          </w:p>
        </w:tc>
        <w:tc>
          <w:tcPr>
            <w:tcW w:w="1120" w:type="dxa"/>
            <w:vAlign w:val="bottom"/>
            <w:gridSpan w:val="3"/>
          </w:tcPr>
          <w:p>
            <w:pPr>
              <w:jc w:val="right"/>
              <w:ind w:right="100"/>
              <w:spacing w:after="0"/>
              <w:rPr>
                <w:sz w:val="20"/>
                <w:szCs w:val="20"/>
                <w:color w:val="auto"/>
              </w:rPr>
            </w:pPr>
            <w:r>
              <w:rPr>
                <w:rFonts w:ascii="Arial" w:cs="Arial" w:eastAsia="Arial" w:hAnsi="Arial"/>
                <w:sz w:val="17"/>
                <w:szCs w:val="17"/>
                <w:color w:val="auto"/>
              </w:rPr>
              <w:t>9,151,293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181,835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(11,316)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40" w:type="dxa"/>
            <w:vAlign w:val="bottom"/>
            <w:gridSpan w:val="3"/>
          </w:tcPr>
          <w:p>
            <w:pPr>
              <w:jc w:val="right"/>
              <w:ind w:right="240"/>
              <w:spacing w:after="0"/>
              <w:rPr>
                <w:sz w:val="20"/>
                <w:szCs w:val="20"/>
                <w:color w:val="auto"/>
              </w:rPr>
            </w:pPr>
            <w:r>
              <w:rPr>
                <w:rFonts w:ascii="Arial" w:cs="Arial" w:eastAsia="Arial" w:hAnsi="Arial"/>
                <w:sz w:val="17"/>
                <w:szCs w:val="17"/>
                <w:color w:val="auto"/>
              </w:rPr>
              <w:t>9,321,812</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Pr>
          <w:p>
            <w:pPr>
              <w:ind w:left="40"/>
              <w:spacing w:after="0"/>
              <w:rPr>
                <w:sz w:val="20"/>
                <w:szCs w:val="20"/>
                <w:color w:val="auto"/>
              </w:rPr>
            </w:pPr>
            <w:r>
              <w:rPr>
                <w:rFonts w:ascii="Arial" w:cs="Arial" w:eastAsia="Arial" w:hAnsi="Arial"/>
                <w:sz w:val="17"/>
                <w:szCs w:val="17"/>
                <w:color w:val="auto"/>
              </w:rPr>
              <w:t>Corporate and other bonds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Industrial and miscellaneous</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119,874,573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5,777,624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(16,685)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(13,473)</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125,622,039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Residential mortgage and other</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Pr>
          <w:p>
            <w:pPr>
              <w:ind w:left="40"/>
              <w:spacing w:after="0"/>
              <w:rPr>
                <w:sz w:val="20"/>
                <w:szCs w:val="20"/>
                <w:color w:val="auto"/>
              </w:rPr>
            </w:pPr>
            <w:r>
              <w:rPr>
                <w:rFonts w:ascii="Arial" w:cs="Arial" w:eastAsia="Arial" w:hAnsi="Arial"/>
                <w:sz w:val="17"/>
                <w:szCs w:val="17"/>
                <w:color w:val="auto"/>
              </w:rPr>
              <w:t>asset backed securities (1)</w:t>
            </w: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26,138,633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437,841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(68,793)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7"/>
                <w:szCs w:val="17"/>
                <w:color w:val="auto"/>
              </w:rPr>
              <w:t>(276,451)</w:t>
            </w:r>
          </w:p>
        </w:tc>
        <w:tc>
          <w:tcPr>
            <w:tcW w:w="1240" w:type="dxa"/>
            <w:vAlign w:val="bottom"/>
            <w:gridSpan w:val="3"/>
          </w:tcPr>
          <w:p>
            <w:pPr>
              <w:jc w:val="right"/>
              <w:ind w:right="240"/>
              <w:spacing w:after="0"/>
              <w:rPr>
                <w:sz w:val="20"/>
                <w:szCs w:val="20"/>
                <w:color w:val="auto"/>
              </w:rPr>
            </w:pPr>
            <w:r>
              <w:rPr>
                <w:rFonts w:ascii="Arial" w:cs="Arial" w:eastAsia="Arial" w:hAnsi="Arial"/>
                <w:sz w:val="17"/>
                <w:szCs w:val="17"/>
                <w:color w:val="auto"/>
              </w:rPr>
              <w:t>26,231,230</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15.6%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0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u w:val="single" w:color="auto"/>
                <w:color w:val="auto"/>
                <w:w w:val="96"/>
              </w:rPr>
              <w:t>$</w:t>
            </w:r>
            <w:r>
              <w:rPr>
                <w:rFonts w:ascii="Arial" w:cs="Arial" w:eastAsia="Arial" w:hAnsi="Arial"/>
                <w:sz w:val="17"/>
                <w:szCs w:val="17"/>
                <w:color w:val="auto"/>
                <w:w w:val="96"/>
              </w:rPr>
              <w:t>162,202,355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6,420,544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(96,794)</w:t>
            </w:r>
          </w:p>
        </w:tc>
        <w:tc>
          <w:tcPr>
            <w:tcW w:w="240" w:type="dxa"/>
            <w:vAlign w:val="bottom"/>
            <w:gridSpan w:val="2"/>
            <w:shd w:val="clear" w:color="auto" w:fill="CCEEFF"/>
          </w:tcPr>
          <w:p>
            <w:pPr>
              <w:jc w:val="right"/>
              <w:ind w:right="8"/>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(289,924)</w:t>
            </w: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u w:val="single" w:color="auto"/>
                <w:color w:val="auto"/>
                <w:w w:val="96"/>
              </w:rPr>
              <w:t>$</w:t>
            </w:r>
            <w:r>
              <w:rPr>
                <w:rFonts w:ascii="Arial" w:cs="Arial" w:eastAsia="Arial" w:hAnsi="Arial"/>
                <w:sz w:val="17"/>
                <w:szCs w:val="17"/>
                <w:color w:val="auto"/>
                <w:w w:val="96"/>
              </w:rPr>
              <w:t>168,236,181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left="640" w:right="40" w:hanging="322"/>
        <w:spacing w:after="0" w:line="264" w:lineRule="auto"/>
        <w:tabs>
          <w:tab w:leader="none" w:pos="691" w:val="left"/>
        </w:tabs>
        <w:numPr>
          <w:ilvl w:val="0"/>
          <w:numId w:val="13"/>
        </w:numPr>
        <w:rPr>
          <w:rFonts w:ascii="Arial" w:cs="Arial" w:eastAsia="Arial" w:hAnsi="Arial"/>
          <w:sz w:val="17"/>
          <w:szCs w:val="17"/>
          <w:color w:val="auto"/>
        </w:rPr>
      </w:pPr>
      <w:r>
        <w:rPr>
          <w:rFonts w:ascii="Arial" w:cs="Arial" w:eastAsia="Arial" w:hAnsi="Arial"/>
          <w:sz w:val="17"/>
          <w:szCs w:val="17"/>
          <w:color w:val="auto"/>
        </w:rPr>
        <w:t>KICO has placed certain residential mortgage backed securities as eligible collateral in a designated custodian account related to its relationship with the FHLBNY. The eligible collateral would be pledged to FHLBNY if KICO draws an advance from FHLBNY. As of December 31, 2019, the estimated fair value of the eligible investments was $7,284,000. KICO will retain all rights regarding all securities if pledged as collateral. As of December 31, 2019, there was no outstanding balance on the FHLBNY credit line.</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auto"/>
        </w:rPr>
        <w:t>Equity Securities</w:t>
      </w:r>
    </w:p>
    <w:p>
      <w:pPr>
        <w:spacing w:after="0" w:line="223" w:lineRule="exact"/>
        <w:rPr>
          <w:sz w:val="20"/>
          <w:szCs w:val="20"/>
          <w:color w:val="auto"/>
        </w:rPr>
      </w:pPr>
    </w:p>
    <w:p>
      <w:pPr>
        <w:ind w:right="140" w:firstLine="627"/>
        <w:spacing w:after="0" w:line="281" w:lineRule="auto"/>
        <w:rPr>
          <w:sz w:val="20"/>
          <w:szCs w:val="20"/>
          <w:color w:val="auto"/>
        </w:rPr>
      </w:pPr>
      <w:r>
        <w:rPr>
          <w:rFonts w:ascii="Arial" w:cs="Arial" w:eastAsia="Arial" w:hAnsi="Arial"/>
          <w:sz w:val="17"/>
          <w:szCs w:val="17"/>
          <w:color w:val="auto"/>
        </w:rPr>
        <w:t>The following table presents a breakdown of the cost and estimated fair value of, and gross unrealized gains and losses, on investments in equity securities as of March 31, 2020 and December 31, 2019: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4"/>
              </w:rPr>
              <w:t>March 31, 2020</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8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Estimated</w:t>
            </w: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209"/>
        </w:trPr>
        <w:tc>
          <w:tcPr>
            <w:tcW w:w="3860" w:type="dxa"/>
            <w:vAlign w:val="bottom"/>
            <w:vMerge w:val="restart"/>
          </w:tcPr>
          <w:p>
            <w:pPr>
              <w:ind w:left="40"/>
              <w:spacing w:after="0"/>
              <w:rPr>
                <w:sz w:val="20"/>
                <w:szCs w:val="20"/>
                <w:color w:val="auto"/>
              </w:rPr>
            </w:pPr>
            <w:r>
              <w:rPr>
                <w:rFonts w:ascii="Arial" w:cs="Arial" w:eastAsia="Arial" w:hAnsi="Arial"/>
                <w:sz w:val="17"/>
                <w:szCs w:val="17"/>
                <w:b w:val="1"/>
                <w:bCs w:val="1"/>
                <w:color w:val="auto"/>
              </w:rPr>
              <w:t>Categor</w:t>
            </w:r>
            <w:r>
              <w:rPr>
                <w:rFonts w:ascii="Arial" w:cs="Arial" w:eastAsia="Arial" w:hAnsi="Arial"/>
                <w:sz w:val="17"/>
                <w:szCs w:val="17"/>
                <w:color w:val="auto"/>
              </w:rPr>
              <w:t>y</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199"/>
        </w:trPr>
        <w:tc>
          <w:tcPr>
            <w:tcW w:w="3860" w:type="dxa"/>
            <w:vAlign w:val="bottom"/>
            <w:vMerge w:val="continue"/>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ind w:left="22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468"/>
        </w:trPr>
        <w:tc>
          <w:tcPr>
            <w:tcW w:w="386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Equity Securities:</w:t>
            </w:r>
          </w:p>
        </w:tc>
        <w:tc>
          <w:tcPr>
            <w:tcW w:w="17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3860" w:type="dxa"/>
            <w:vAlign w:val="bottom"/>
            <w:shd w:val="clear" w:color="auto" w:fill="CCEEFF"/>
          </w:tcPr>
          <w:p>
            <w:pPr>
              <w:ind w:left="40"/>
              <w:spacing w:after="0"/>
              <w:rPr>
                <w:sz w:val="20"/>
                <w:szCs w:val="20"/>
                <w:color w:val="auto"/>
              </w:rPr>
            </w:pPr>
            <w:r>
              <w:rPr>
                <w:rFonts w:ascii="Arial" w:cs="Arial" w:eastAsia="Arial" w:hAnsi="Arial"/>
                <w:sz w:val="17"/>
                <w:szCs w:val="17"/>
                <w:color w:val="auto"/>
              </w:rPr>
              <w:t>Preferred stocks</w:t>
            </w:r>
          </w:p>
        </w:tc>
        <w:tc>
          <w:tcPr>
            <w:tcW w:w="198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7,535,068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7,870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4"/>
              </w:rPr>
              <w:t>(1,113,367)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6,429,571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60" w:type="dxa"/>
            <w:vAlign w:val="bottom"/>
          </w:tcPr>
          <w:p>
            <w:pPr>
              <w:ind w:left="40"/>
              <w:spacing w:after="0"/>
              <w:rPr>
                <w:sz w:val="20"/>
                <w:szCs w:val="20"/>
                <w:color w:val="auto"/>
              </w:rPr>
            </w:pPr>
            <w:r>
              <w:rPr>
                <w:rFonts w:ascii="Arial" w:cs="Arial" w:eastAsia="Arial" w:hAnsi="Arial"/>
                <w:sz w:val="17"/>
                <w:szCs w:val="17"/>
                <w:color w:val="auto"/>
              </w:rPr>
              <w:t>Common stocks, mutual funds,</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60" w:type="dxa"/>
            <w:vAlign w:val="bottom"/>
            <w:shd w:val="clear" w:color="auto" w:fill="CCEEFF"/>
          </w:tcPr>
          <w:p>
            <w:pPr>
              <w:ind w:left="40"/>
              <w:spacing w:after="0"/>
              <w:rPr>
                <w:sz w:val="20"/>
                <w:szCs w:val="20"/>
                <w:color w:val="auto"/>
              </w:rPr>
            </w:pPr>
            <w:r>
              <w:rPr>
                <w:rFonts w:ascii="Arial" w:cs="Arial" w:eastAsia="Arial" w:hAnsi="Arial"/>
                <w:sz w:val="17"/>
                <w:szCs w:val="17"/>
                <w:color w:val="auto"/>
              </w:rPr>
              <w:t>and exchange traded funds</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14,894,969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137,242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4"/>
              </w:rPr>
              <w:t>(3,092,889)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9"/>
              </w:rPr>
              <w:t>11,939,322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386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3860" w:type="dxa"/>
            <w:vAlign w:val="bottom"/>
          </w:tcPr>
          <w:p>
            <w:pPr>
              <w:ind w:left="40"/>
              <w:spacing w:after="0"/>
              <w:rPr>
                <w:sz w:val="20"/>
                <w:szCs w:val="20"/>
                <w:color w:val="auto"/>
              </w:rPr>
            </w:pPr>
            <w:r>
              <w:rPr>
                <w:rFonts w:ascii="Arial" w:cs="Arial" w:eastAsia="Arial" w:hAnsi="Arial"/>
                <w:sz w:val="17"/>
                <w:szCs w:val="17"/>
                <w:color w:val="auto"/>
              </w:rPr>
              <w:t>Total</w:t>
            </w:r>
          </w:p>
        </w:tc>
        <w:tc>
          <w:tcPr>
            <w:tcW w:w="198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w w:val="91"/>
              </w:rPr>
              <w:t>22,430,037</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145,112</w:t>
            </w:r>
          </w:p>
        </w:tc>
        <w:tc>
          <w:tcPr>
            <w:tcW w:w="2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w w:val="94"/>
              </w:rPr>
              <w:t>(4,206,256)</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w w:val="89"/>
              </w:rPr>
              <w:t>18,368,893</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100.0%</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88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49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8"/>
        </w:trPr>
        <w:tc>
          <w:tcPr>
            <w:tcW w:w="38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2"/>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20" w:top="597" w:right="299" w:bottom="144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December 31, 2019</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42"/>
              <w:spacing w:after="0" w:line="143" w:lineRule="exact"/>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2"/>
                <w:szCs w:val="12"/>
                <w:color w:val="auto"/>
              </w:rPr>
            </w:pPr>
          </w:p>
        </w:tc>
        <w:tc>
          <w:tcPr>
            <w:tcW w:w="1020" w:type="dxa"/>
            <w:vAlign w:val="bottom"/>
            <w:gridSpan w:val="2"/>
          </w:tcPr>
          <w:p>
            <w:pPr>
              <w:jc w:val="center"/>
              <w:ind w:right="360"/>
              <w:spacing w:after="0" w:line="143" w:lineRule="exact"/>
              <w:rPr>
                <w:sz w:val="20"/>
                <w:szCs w:val="20"/>
                <w:color w:val="auto"/>
              </w:rPr>
            </w:pPr>
            <w:r>
              <w:rPr>
                <w:rFonts w:ascii="Arial" w:cs="Arial" w:eastAsia="Arial" w:hAnsi="Arial"/>
                <w:sz w:val="14"/>
                <w:szCs w:val="14"/>
                <w:b w:val="1"/>
                <w:bCs w:val="1"/>
                <w:color w:val="auto"/>
                <w:w w:val="92"/>
              </w:rPr>
              <w:t>Estimated</w:t>
            </w:r>
          </w:p>
        </w:tc>
        <w:tc>
          <w:tcPr>
            <w:tcW w:w="8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 of</w:t>
            </w:r>
          </w:p>
        </w:tc>
        <w:tc>
          <w:tcPr>
            <w:tcW w:w="1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5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ind w:right="22"/>
              <w:spacing w:after="0" w:line="157"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3"/>
                <w:szCs w:val="13"/>
                <w:color w:val="auto"/>
              </w:rPr>
            </w:pPr>
          </w:p>
        </w:tc>
        <w:tc>
          <w:tcPr>
            <w:tcW w:w="102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rPr>
              <w:t>Fair</w:t>
            </w:r>
          </w:p>
        </w:tc>
        <w:tc>
          <w:tcPr>
            <w:tcW w:w="1040" w:type="dxa"/>
            <w:vAlign w:val="bottom"/>
            <w:gridSpan w:val="3"/>
          </w:tcPr>
          <w:p>
            <w:pPr>
              <w:jc w:val="center"/>
              <w:ind w:right="120"/>
              <w:spacing w:after="0" w:line="157" w:lineRule="exact"/>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176"/>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Categor</w:t>
            </w:r>
            <w:r>
              <w:rPr>
                <w:rFonts w:ascii="Arial" w:cs="Arial" w:eastAsia="Arial" w:hAnsi="Arial"/>
                <w:sz w:val="14"/>
                <w:szCs w:val="14"/>
                <w:color w:val="auto"/>
              </w:rPr>
              <w:t>y</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18"/>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ind w:right="42"/>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468"/>
        </w:trPr>
        <w:tc>
          <w:tcPr>
            <w:tcW w:w="562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Equity Securities:</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620" w:type="dxa"/>
            <w:vAlign w:val="bottom"/>
            <w:shd w:val="clear" w:color="auto" w:fill="CCEEFF"/>
          </w:tcPr>
          <w:p>
            <w:pPr>
              <w:ind w:left="40"/>
              <w:spacing w:after="0"/>
              <w:rPr>
                <w:sz w:val="20"/>
                <w:szCs w:val="20"/>
                <w:color w:val="auto"/>
              </w:rPr>
            </w:pPr>
            <w:r>
              <w:rPr>
                <w:rFonts w:ascii="Arial" w:cs="Arial" w:eastAsia="Arial" w:hAnsi="Arial"/>
                <w:sz w:val="17"/>
                <w:szCs w:val="17"/>
                <w:color w:val="auto"/>
              </w:rPr>
              <w:t>Preferred stocks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8,374,424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339,257</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(11,794)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8,701,887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20" w:type="dxa"/>
            <w:vAlign w:val="bottom"/>
          </w:tcPr>
          <w:p>
            <w:pPr>
              <w:ind w:left="40"/>
              <w:spacing w:after="0"/>
              <w:rPr>
                <w:sz w:val="20"/>
                <w:szCs w:val="20"/>
                <w:color w:val="auto"/>
              </w:rPr>
            </w:pPr>
            <w:r>
              <w:rPr>
                <w:rFonts w:ascii="Arial" w:cs="Arial" w:eastAsia="Arial" w:hAnsi="Arial"/>
                <w:sz w:val="17"/>
                <w:szCs w:val="17"/>
                <w:color w:val="auto"/>
              </w:rPr>
              <w:t>Common stocks, mutual funds,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ind w:left="40"/>
              <w:spacing w:after="0"/>
              <w:rPr>
                <w:sz w:val="20"/>
                <w:szCs w:val="20"/>
                <w:color w:val="auto"/>
              </w:rPr>
            </w:pPr>
            <w:r>
              <w:rPr>
                <w:rFonts w:ascii="Arial" w:cs="Arial" w:eastAsia="Arial" w:hAnsi="Arial"/>
                <w:sz w:val="17"/>
                <w:szCs w:val="17"/>
                <w:color w:val="auto"/>
              </w:rPr>
              <w:t>and exchange traded funds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14,250,244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1,982,878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(273,627)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9"/>
              </w:rPr>
              <w:t>15,959,495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5620" w:type="dxa"/>
            <w:vAlign w:val="bottom"/>
          </w:tcPr>
          <w:p>
            <w:pPr>
              <w:ind w:left="40"/>
              <w:spacing w:after="0"/>
              <w:rPr>
                <w:sz w:val="20"/>
                <w:szCs w:val="20"/>
                <w:color w:val="auto"/>
              </w:rPr>
            </w:pPr>
            <w:r>
              <w:rPr>
                <w:rFonts w:ascii="Arial" w:cs="Arial" w:eastAsia="Arial" w:hAnsi="Arial"/>
                <w:sz w:val="17"/>
                <w:szCs w:val="17"/>
                <w:color w:val="auto"/>
              </w:rPr>
              <w:t>Total</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w w:val="91"/>
              </w:rPr>
              <w:t>22,624,668</w:t>
            </w: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2,322,135</w:t>
            </w:r>
          </w:p>
        </w:tc>
        <w:tc>
          <w:tcPr>
            <w:tcW w:w="3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(285,421)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w w:val="89"/>
              </w:rPr>
              <w:t>24,661,382</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100.0%</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auto"/>
        </w:rPr>
        <w:t>Other Investments</w:t>
      </w:r>
    </w:p>
    <w:p>
      <w:pPr>
        <w:spacing w:after="0" w:line="223"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following table presents a breakdown of the cost and estimated fair value of , and gross unrealized gains and losses, on our other investments as of</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March 31, 2020 and December 31, 2019:</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March 31, 2020</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December 31, 2019</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3"/>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w w:val="88"/>
              </w:rPr>
              <w:t>Gross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w w:val="88"/>
              </w:rPr>
              <w:t>Gross</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7"/>
        </w:trPr>
        <w:tc>
          <w:tcPr>
            <w:tcW w:w="4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220"/>
              <w:spacing w:after="0" w:line="157" w:lineRule="exact"/>
              <w:rPr>
                <w:sz w:val="20"/>
                <w:szCs w:val="20"/>
                <w:color w:val="auto"/>
              </w:rPr>
            </w:pPr>
            <w:r>
              <w:rPr>
                <w:rFonts w:ascii="Arial" w:cs="Arial" w:eastAsia="Arial" w:hAnsi="Arial"/>
                <w:sz w:val="14"/>
                <w:szCs w:val="14"/>
                <w:b w:val="1"/>
                <w:bCs w:val="1"/>
                <w:color w:val="auto"/>
                <w:w w:val="95"/>
              </w:rPr>
              <w:t>Unrealized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42"/>
              <w:spacing w:after="0" w:line="157" w:lineRule="exact"/>
              <w:rPr>
                <w:sz w:val="20"/>
                <w:szCs w:val="20"/>
                <w:color w:val="auto"/>
              </w:rPr>
            </w:pPr>
            <w:r>
              <w:rPr>
                <w:rFonts w:ascii="Arial" w:cs="Arial" w:eastAsia="Arial" w:hAnsi="Arial"/>
                <w:sz w:val="14"/>
                <w:szCs w:val="14"/>
                <w:b w:val="1"/>
                <w:bCs w:val="1"/>
                <w:color w:val="auto"/>
                <w:w w:val="95"/>
              </w:rPr>
              <w:t>Estimated</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w w:val="93"/>
              </w:rPr>
              <w:t>Unrealized</w:t>
            </w:r>
          </w:p>
        </w:tc>
        <w:tc>
          <w:tcPr>
            <w:tcW w:w="100" w:type="dxa"/>
            <w:vAlign w:val="bottom"/>
          </w:tcPr>
          <w:p>
            <w:pPr>
              <w:spacing w:after="0"/>
              <w:rPr>
                <w:sz w:val="13"/>
                <w:szCs w:val="13"/>
                <w:color w:val="auto"/>
              </w:rPr>
            </w:pPr>
          </w:p>
        </w:tc>
        <w:tc>
          <w:tcPr>
            <w:tcW w:w="900" w:type="dxa"/>
            <w:vAlign w:val="bottom"/>
            <w:gridSpan w:val="2"/>
          </w:tcPr>
          <w:p>
            <w:pPr>
              <w:ind w:left="40"/>
              <w:spacing w:after="0" w:line="157" w:lineRule="exact"/>
              <w:rPr>
                <w:sz w:val="20"/>
                <w:szCs w:val="20"/>
                <w:color w:val="auto"/>
              </w:rPr>
            </w:pPr>
            <w:r>
              <w:rPr>
                <w:rFonts w:ascii="Arial" w:cs="Arial" w:eastAsia="Arial" w:hAnsi="Arial"/>
                <w:sz w:val="14"/>
                <w:szCs w:val="14"/>
                <w:b w:val="1"/>
                <w:bCs w:val="1"/>
                <w:color w:val="auto"/>
              </w:rPr>
              <w:t>Estimated</w:t>
            </w:r>
          </w:p>
        </w:tc>
      </w:tr>
      <w:tr>
        <w:trPr>
          <w:trHeight w:val="176"/>
        </w:trPr>
        <w:tc>
          <w:tcPr>
            <w:tcW w:w="4500" w:type="dxa"/>
            <w:vAlign w:val="bottom"/>
          </w:tcPr>
          <w:p>
            <w:pPr>
              <w:ind w:left="40"/>
              <w:spacing w:after="0"/>
              <w:rPr>
                <w:sz w:val="20"/>
                <w:szCs w:val="20"/>
                <w:color w:val="auto"/>
              </w:rPr>
            </w:pPr>
            <w:r>
              <w:rPr>
                <w:rFonts w:ascii="Arial" w:cs="Arial" w:eastAsia="Arial" w:hAnsi="Arial"/>
                <w:sz w:val="14"/>
                <w:szCs w:val="14"/>
                <w:b w:val="1"/>
                <w:bCs w:val="1"/>
                <w:color w:val="auto"/>
              </w:rPr>
              <w:t>Categor</w:t>
            </w:r>
            <w:r>
              <w:rPr>
                <w:rFonts w:ascii="Arial" w:cs="Arial" w:eastAsia="Arial" w:hAnsi="Arial"/>
                <w:sz w:val="14"/>
                <w:szCs w:val="14"/>
                <w:color w:val="auto"/>
              </w:rPr>
              <w:t>y</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219"/>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22"/>
              <w:spacing w:after="0"/>
              <w:rPr>
                <w:sz w:val="20"/>
                <w:szCs w:val="20"/>
                <w:color w:val="auto"/>
              </w:rPr>
            </w:pPr>
            <w:r>
              <w:rPr>
                <w:rFonts w:ascii="Arial" w:cs="Arial" w:eastAsia="Arial" w:hAnsi="Arial"/>
                <w:sz w:val="14"/>
                <w:szCs w:val="14"/>
                <w:b w:val="1"/>
                <w:bCs w:val="1"/>
                <w:color w:val="auto"/>
                <w:w w:val="98"/>
              </w:rPr>
              <w:t>Fair Value</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ind w:right="239"/>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5"/>
                <w:szCs w:val="15"/>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r>
      <w:tr>
        <w:trPr>
          <w:trHeight w:val="469"/>
        </w:trPr>
        <w:tc>
          <w:tcPr>
            <w:tcW w:w="450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Other Investments:</w:t>
            </w: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4500" w:type="dxa"/>
            <w:vAlign w:val="bottom"/>
            <w:shd w:val="clear" w:color="auto" w:fill="CCEEFF"/>
          </w:tcPr>
          <w:p>
            <w:pPr>
              <w:ind w:left="40"/>
              <w:spacing w:after="0"/>
              <w:rPr>
                <w:sz w:val="20"/>
                <w:szCs w:val="20"/>
                <w:color w:val="auto"/>
              </w:rPr>
            </w:pPr>
            <w:r>
              <w:rPr>
                <w:rFonts w:ascii="Arial" w:cs="Arial" w:eastAsia="Arial" w:hAnsi="Arial"/>
                <w:sz w:val="17"/>
                <w:szCs w:val="17"/>
                <w:color w:val="auto"/>
              </w:rPr>
              <w:t>Hedge fund</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7"/>
              </w:rPr>
              <w:t>1,999,381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(11,859)</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1,987,522</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5"/>
              </w:rPr>
              <w:t>1,999,381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585,532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2,584,913</w:t>
            </w:r>
          </w:p>
        </w:tc>
        <w:tc>
          <w:tcPr>
            <w:tcW w:w="100" w:type="dxa"/>
            <w:vAlign w:val="bottom"/>
            <w:shd w:val="clear" w:color="auto" w:fill="CCEEFF"/>
          </w:tcPr>
          <w:p>
            <w:pPr>
              <w:spacing w:after="0"/>
              <w:rPr>
                <w:sz w:val="18"/>
                <w:szCs w:val="18"/>
                <w:color w:val="auto"/>
              </w:rPr>
            </w:pPr>
          </w:p>
        </w:tc>
      </w:tr>
      <w:tr>
        <w:trPr>
          <w:trHeight w:val="26"/>
        </w:trPr>
        <w:tc>
          <w:tcPr>
            <w:tcW w:w="450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tcBorders>
              <w:right w:val="single" w:sz="8" w:color="CCEEFF"/>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9"/>
        </w:trPr>
        <w:tc>
          <w:tcPr>
            <w:tcW w:w="4500" w:type="dxa"/>
            <w:vAlign w:val="bottom"/>
          </w:tcPr>
          <w:p>
            <w:pPr>
              <w:ind w:left="40"/>
              <w:spacing w:after="0"/>
              <w:rPr>
                <w:sz w:val="20"/>
                <w:szCs w:val="20"/>
                <w:color w:val="auto"/>
              </w:rPr>
            </w:pPr>
            <w:r>
              <w:rPr>
                <w:rFonts w:ascii="Arial" w:cs="Arial" w:eastAsia="Arial" w:hAnsi="Arial"/>
                <w:sz w:val="17"/>
                <w:szCs w:val="17"/>
                <w:color w:val="auto"/>
              </w:rPr>
              <w:t>Total</w:t>
            </w:r>
          </w:p>
        </w:tc>
        <w:tc>
          <w:tcPr>
            <w:tcW w:w="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w w:val="97"/>
              </w:rPr>
              <w:t>1,999,381</w:t>
            </w:r>
          </w:p>
        </w:tc>
        <w:tc>
          <w:tcPr>
            <w:tcW w:w="3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(11,859)</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1,987,522</w:t>
            </w:r>
          </w:p>
        </w:tc>
        <w:tc>
          <w:tcPr>
            <w:tcW w:w="3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w w:val="95"/>
              </w:rPr>
              <w:t>1,999,381</w:t>
            </w:r>
          </w:p>
        </w:tc>
        <w:tc>
          <w:tcPr>
            <w:tcW w:w="3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585,532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2,584,913</w:t>
            </w:r>
          </w:p>
        </w:tc>
        <w:tc>
          <w:tcPr>
            <w:tcW w:w="100" w:type="dxa"/>
            <w:vAlign w:val="bottom"/>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ind w:left="640"/>
        <w:spacing w:after="0"/>
        <w:rPr>
          <w:sz w:val="20"/>
          <w:szCs w:val="20"/>
          <w:color w:val="auto"/>
        </w:rPr>
      </w:pPr>
      <w:r>
        <w:rPr>
          <w:rFonts w:ascii="Arial" w:cs="Arial" w:eastAsia="Arial" w:hAnsi="Arial"/>
          <w:sz w:val="17"/>
          <w:szCs w:val="17"/>
          <w:u w:val="single" w:color="auto"/>
          <w:color w:val="auto"/>
        </w:rPr>
        <w:t>Held-to-Maturity Securities</w:t>
      </w:r>
    </w:p>
    <w:p>
      <w:pPr>
        <w:spacing w:after="0" w:line="223" w:lineRule="exact"/>
        <w:rPr>
          <w:sz w:val="20"/>
          <w:szCs w:val="20"/>
          <w:color w:val="auto"/>
        </w:rPr>
      </w:pPr>
    </w:p>
    <w:p>
      <w:pPr>
        <w:jc w:val="both"/>
        <w:ind w:right="40" w:firstLine="627"/>
        <w:spacing w:after="0" w:line="281" w:lineRule="auto"/>
        <w:rPr>
          <w:sz w:val="20"/>
          <w:szCs w:val="20"/>
          <w:color w:val="auto"/>
        </w:rPr>
      </w:pPr>
      <w:r>
        <w:rPr>
          <w:rFonts w:ascii="Arial" w:cs="Arial" w:eastAsia="Arial" w:hAnsi="Arial"/>
          <w:sz w:val="17"/>
          <w:szCs w:val="17"/>
          <w:color w:val="auto"/>
        </w:rPr>
        <w:t>The following table presents a breakdown of the amortized cost and estimated fair value of, and gross unrealized gains and losses on, investments in held-to-maturity securities as of March 31, 2020 and December 31, 2019:</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0"/>
        </w:trPr>
        <w:tc>
          <w:tcPr>
            <w:tcW w:w="4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Cost or</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Gross Unrealized Losses</w:t>
            </w:r>
          </w:p>
        </w:tc>
        <w:tc>
          <w:tcPr>
            <w:tcW w:w="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Estimated</w:t>
            </w:r>
          </w:p>
        </w:tc>
        <w:tc>
          <w:tcPr>
            <w:tcW w:w="10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3"/>
        </w:trPr>
        <w:tc>
          <w:tcPr>
            <w:tcW w:w="4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00"/>
              <w:spacing w:after="0" w:line="143" w:lineRule="exact"/>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3" w:lineRule="exact"/>
              <w:rPr>
                <w:sz w:val="20"/>
                <w:szCs w:val="20"/>
                <w:color w:val="auto"/>
              </w:rPr>
            </w:pPr>
            <w:r>
              <w:rPr>
                <w:rFonts w:ascii="Arial" w:cs="Arial" w:eastAsia="Arial" w:hAnsi="Arial"/>
                <w:sz w:val="14"/>
                <w:szCs w:val="14"/>
                <w:b w:val="1"/>
                <w:bCs w:val="1"/>
                <w:color w:val="auto"/>
                <w:w w:val="89"/>
              </w:rPr>
              <w:t>Less than 12</w:t>
            </w:r>
          </w:p>
        </w:tc>
        <w:tc>
          <w:tcPr>
            <w:tcW w:w="80" w:type="dxa"/>
            <w:vAlign w:val="bottom"/>
          </w:tcPr>
          <w:p>
            <w:pPr>
              <w:spacing w:after="0"/>
              <w:rPr>
                <w:sz w:val="12"/>
                <w:szCs w:val="12"/>
                <w:color w:val="auto"/>
              </w:rPr>
            </w:pPr>
          </w:p>
        </w:tc>
        <w:tc>
          <w:tcPr>
            <w:tcW w:w="900" w:type="dxa"/>
            <w:vAlign w:val="bottom"/>
            <w:gridSpan w:val="2"/>
          </w:tcPr>
          <w:p>
            <w:pPr>
              <w:ind w:left="60"/>
              <w:spacing w:after="0" w:line="143" w:lineRule="exact"/>
              <w:rPr>
                <w:sz w:val="20"/>
                <w:szCs w:val="20"/>
                <w:color w:val="auto"/>
              </w:rPr>
            </w:pPr>
            <w:r>
              <w:rPr>
                <w:rFonts w:ascii="Arial" w:cs="Arial" w:eastAsia="Arial" w:hAnsi="Arial"/>
                <w:sz w:val="14"/>
                <w:szCs w:val="14"/>
                <w:b w:val="1"/>
                <w:bCs w:val="1"/>
                <w:color w:val="auto"/>
                <w:w w:val="94"/>
              </w:rPr>
              <w:t>More than 12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rPr>
              <w:t>Fair</w:t>
            </w:r>
          </w:p>
        </w:tc>
        <w:tc>
          <w:tcPr>
            <w:tcW w:w="1040" w:type="dxa"/>
            <w:vAlign w:val="bottom"/>
            <w:gridSpan w:val="3"/>
          </w:tcPr>
          <w:p>
            <w:pPr>
              <w:jc w:val="center"/>
              <w:ind w:right="140"/>
              <w:spacing w:after="0" w:line="143"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76"/>
        </w:trPr>
        <w:tc>
          <w:tcPr>
            <w:tcW w:w="4500" w:type="dxa"/>
            <w:vAlign w:val="bottom"/>
          </w:tcPr>
          <w:p>
            <w:pPr>
              <w:ind w:left="40"/>
              <w:spacing w:after="0"/>
              <w:rPr>
                <w:sz w:val="20"/>
                <w:szCs w:val="20"/>
                <w:color w:val="auto"/>
              </w:rPr>
            </w:pPr>
            <w:r>
              <w:rPr>
                <w:rFonts w:ascii="Arial" w:cs="Arial" w:eastAsia="Arial" w:hAnsi="Arial"/>
                <w:sz w:val="14"/>
                <w:szCs w:val="14"/>
                <w:b w:val="1"/>
                <w:bCs w:val="1"/>
                <w:color w:val="auto"/>
              </w:rPr>
              <w:t>Categor</w:t>
            </w:r>
            <w:r>
              <w:rPr>
                <w:rFonts w:ascii="Arial" w:cs="Arial" w:eastAsia="Arial" w:hAnsi="Arial"/>
                <w:sz w:val="14"/>
                <w:szCs w:val="14"/>
                <w:color w:val="auto"/>
              </w:rPr>
              <w:t>y</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Cos</w:t>
            </w:r>
            <w:r>
              <w:rPr>
                <w:rFonts w:ascii="Arial" w:cs="Arial" w:eastAsia="Arial" w:hAnsi="Arial"/>
                <w:sz w:val="14"/>
                <w:szCs w:val="14"/>
                <w:color w:val="auto"/>
                <w:w w:val="92"/>
              </w:rPr>
              <w:t>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Months</w:t>
            </w:r>
          </w:p>
        </w:tc>
        <w:tc>
          <w:tcPr>
            <w:tcW w:w="8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Months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35"/>
        </w:trPr>
        <w:tc>
          <w:tcPr>
            <w:tcW w:w="45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ind w:left="40"/>
              <w:spacing w:after="0"/>
              <w:rPr>
                <w:sz w:val="20"/>
                <w:szCs w:val="20"/>
                <w:color w:val="auto"/>
              </w:rPr>
            </w:pPr>
            <w:r>
              <w:rPr>
                <w:rFonts w:ascii="Arial" w:cs="Arial" w:eastAsia="Arial" w:hAnsi="Arial"/>
                <w:sz w:val="17"/>
                <w:szCs w:val="17"/>
                <w:color w:val="auto"/>
              </w:rPr>
              <w:t>U.S. Treasury securities</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729,561</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162,483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628"/>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892,044</w:t>
            </w:r>
          </w:p>
        </w:tc>
        <w:tc>
          <w:tcPr>
            <w:tcW w:w="10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21.6%</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Political subdivisions of States,</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Pr>
          <w:p>
            <w:pPr>
              <w:ind w:left="40"/>
              <w:spacing w:after="0"/>
              <w:rPr>
                <w:sz w:val="20"/>
                <w:szCs w:val="20"/>
                <w:color w:val="auto"/>
              </w:rPr>
            </w:pPr>
            <w:r>
              <w:rPr>
                <w:rFonts w:ascii="Arial" w:cs="Arial" w:eastAsia="Arial" w:hAnsi="Arial"/>
                <w:sz w:val="17"/>
                <w:szCs w:val="17"/>
                <w:color w:val="auto"/>
              </w:rPr>
              <w:t>Territories and Possessions</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998,573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43,857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1,042,430</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25.2%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Pr>
          <w:p>
            <w:pPr>
              <w:ind w:left="40"/>
              <w:spacing w:after="0"/>
              <w:rPr>
                <w:sz w:val="20"/>
                <w:szCs w:val="20"/>
                <w:color w:val="auto"/>
              </w:rPr>
            </w:pPr>
            <w:r>
              <w:rPr>
                <w:rFonts w:ascii="Arial" w:cs="Arial" w:eastAsia="Arial" w:hAnsi="Arial"/>
                <w:sz w:val="17"/>
                <w:szCs w:val="17"/>
                <w:color w:val="auto"/>
              </w:rPr>
              <w:t>Corporate and other bonds</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0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Industrial and miscellaneous</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2,098,270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106,196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(2,230)</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2,202,236</w:t>
            </w:r>
          </w:p>
        </w:tc>
        <w:tc>
          <w:tcPr>
            <w:tcW w:w="10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53.2%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50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3,826,404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312,536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(2,230)</w:t>
            </w:r>
          </w:p>
        </w:tc>
        <w:tc>
          <w:tcPr>
            <w:tcW w:w="860" w:type="dxa"/>
            <w:vAlign w:val="bottom"/>
            <w:gridSpan w:val="2"/>
            <w:shd w:val="clear" w:color="auto" w:fill="CCEEFF"/>
          </w:tcPr>
          <w:p>
            <w:pPr>
              <w:jc w:val="right"/>
              <w:ind w:right="628"/>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4,136,710</w:t>
            </w:r>
          </w:p>
        </w:tc>
        <w:tc>
          <w:tcPr>
            <w:tcW w:w="10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18"/>
        </w:trPr>
        <w:tc>
          <w:tcPr>
            <w:tcW w:w="45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7"/>
                <w:szCs w:val="17"/>
                <w:color w:val="auto"/>
                <w:w w:val="84"/>
              </w:rPr>
              <w:t>50</w:t>
            </w:r>
          </w:p>
        </w:tc>
        <w:tc>
          <w:tcPr>
            <w:tcW w:w="10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20" w:top="544" w:right="299" w:bottom="144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228"/>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6"/>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Cost or</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right"/>
              <w:ind w:right="48"/>
              <w:spacing w:after="0"/>
              <w:rPr>
                <w:sz w:val="20"/>
                <w:szCs w:val="20"/>
                <w:color w:val="auto"/>
              </w:rPr>
            </w:pPr>
            <w:r>
              <w:rPr>
                <w:rFonts w:ascii="Arial" w:cs="Arial" w:eastAsia="Arial" w:hAnsi="Arial"/>
                <w:sz w:val="14"/>
                <w:szCs w:val="14"/>
                <w:b w:val="1"/>
                <w:bCs w:val="1"/>
                <w:color w:val="auto"/>
              </w:rPr>
              <w:t>Gross Unrealized Losses</w:t>
            </w:r>
          </w:p>
        </w:tc>
        <w:tc>
          <w:tcPr>
            <w:tcW w:w="1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Estimated</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3"/>
        </w:trPr>
        <w:tc>
          <w:tcPr>
            <w:tcW w:w="4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w w:val="95"/>
              </w:rPr>
              <w:t>Unrealized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180"/>
              <w:spacing w:after="0" w:line="143" w:lineRule="exact"/>
              <w:rPr>
                <w:sz w:val="20"/>
                <w:szCs w:val="20"/>
                <w:color w:val="auto"/>
              </w:rPr>
            </w:pPr>
            <w:r>
              <w:rPr>
                <w:rFonts w:ascii="Arial" w:cs="Arial" w:eastAsia="Arial" w:hAnsi="Arial"/>
                <w:sz w:val="14"/>
                <w:szCs w:val="14"/>
                <w:b w:val="1"/>
                <w:bCs w:val="1"/>
                <w:color w:val="auto"/>
                <w:w w:val="89"/>
              </w:rPr>
              <w:t>Less than 12</w:t>
            </w:r>
          </w:p>
        </w:tc>
        <w:tc>
          <w:tcPr>
            <w:tcW w:w="80" w:type="dxa"/>
            <w:vAlign w:val="bottom"/>
          </w:tcPr>
          <w:p>
            <w:pPr>
              <w:spacing w:after="0"/>
              <w:rPr>
                <w:sz w:val="12"/>
                <w:szCs w:val="12"/>
                <w:color w:val="auto"/>
              </w:rPr>
            </w:pPr>
          </w:p>
        </w:tc>
        <w:tc>
          <w:tcPr>
            <w:tcW w:w="900" w:type="dxa"/>
            <w:vAlign w:val="bottom"/>
            <w:gridSpan w:val="2"/>
          </w:tcPr>
          <w:p>
            <w:pPr>
              <w:ind w:left="60"/>
              <w:spacing w:after="0" w:line="143" w:lineRule="exact"/>
              <w:rPr>
                <w:sz w:val="20"/>
                <w:szCs w:val="20"/>
                <w:color w:val="auto"/>
              </w:rPr>
            </w:pPr>
            <w:r>
              <w:rPr>
                <w:rFonts w:ascii="Arial" w:cs="Arial" w:eastAsia="Arial" w:hAnsi="Arial"/>
                <w:sz w:val="14"/>
                <w:szCs w:val="14"/>
                <w:b w:val="1"/>
                <w:bCs w:val="1"/>
                <w:color w:val="auto"/>
                <w:w w:val="94"/>
              </w:rPr>
              <w:t>More than 12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rPr>
              <w:t>Fair</w:t>
            </w:r>
          </w:p>
        </w:tc>
        <w:tc>
          <w:tcPr>
            <w:tcW w:w="1040" w:type="dxa"/>
            <w:vAlign w:val="bottom"/>
            <w:gridSpan w:val="2"/>
          </w:tcPr>
          <w:p>
            <w:pPr>
              <w:jc w:val="center"/>
              <w:ind w:right="140"/>
              <w:spacing w:after="0" w:line="143"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76"/>
        </w:trPr>
        <w:tc>
          <w:tcPr>
            <w:tcW w:w="4500" w:type="dxa"/>
            <w:vAlign w:val="bottom"/>
          </w:tcPr>
          <w:p>
            <w:pPr>
              <w:ind w:left="40"/>
              <w:spacing w:after="0"/>
              <w:rPr>
                <w:sz w:val="20"/>
                <w:szCs w:val="20"/>
                <w:color w:val="auto"/>
              </w:rPr>
            </w:pPr>
            <w:r>
              <w:rPr>
                <w:rFonts w:ascii="Arial" w:cs="Arial" w:eastAsia="Arial" w:hAnsi="Arial"/>
                <w:sz w:val="14"/>
                <w:szCs w:val="14"/>
                <w:b w:val="1"/>
                <w:bCs w:val="1"/>
                <w:color w:val="auto"/>
              </w:rPr>
              <w:t>Categor</w:t>
            </w:r>
            <w:r>
              <w:rPr>
                <w:rFonts w:ascii="Arial" w:cs="Arial" w:eastAsia="Arial" w:hAnsi="Arial"/>
                <w:sz w:val="14"/>
                <w:szCs w:val="14"/>
                <w:color w:val="auto"/>
              </w:rPr>
              <w:t>y</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Cos</w:t>
            </w:r>
            <w:r>
              <w:rPr>
                <w:rFonts w:ascii="Arial" w:cs="Arial" w:eastAsia="Arial" w:hAnsi="Arial"/>
                <w:sz w:val="14"/>
                <w:szCs w:val="14"/>
                <w:color w:val="auto"/>
                <w:w w:val="92"/>
              </w:rPr>
              <w:t>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Months</w:t>
            </w:r>
          </w:p>
        </w:tc>
        <w:tc>
          <w:tcPr>
            <w:tcW w:w="8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Months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35"/>
        </w:trPr>
        <w:tc>
          <w:tcPr>
            <w:tcW w:w="45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4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ind w:left="40"/>
              <w:spacing w:after="0"/>
              <w:rPr>
                <w:sz w:val="20"/>
                <w:szCs w:val="20"/>
                <w:color w:val="auto"/>
              </w:rPr>
            </w:pPr>
            <w:r>
              <w:rPr>
                <w:rFonts w:ascii="Arial" w:cs="Arial" w:eastAsia="Arial" w:hAnsi="Arial"/>
                <w:sz w:val="17"/>
                <w:szCs w:val="17"/>
                <w:color w:val="auto"/>
              </w:rPr>
              <w:t>U.S. Treasury securities</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729,550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151,002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628"/>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880,552</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21.3%</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Political subdivisions of States,</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Pr>
          <w:p>
            <w:pPr>
              <w:ind w:left="40"/>
              <w:spacing w:after="0"/>
              <w:rPr>
                <w:sz w:val="20"/>
                <w:szCs w:val="20"/>
                <w:color w:val="auto"/>
              </w:rPr>
            </w:pPr>
            <w:r>
              <w:rPr>
                <w:rFonts w:ascii="Arial" w:cs="Arial" w:eastAsia="Arial" w:hAnsi="Arial"/>
                <w:sz w:val="17"/>
                <w:szCs w:val="17"/>
                <w:color w:val="auto"/>
              </w:rPr>
              <w:t>Territories and Possessions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998,619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51,021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rPr>
              <w:t>1,049,640</w:t>
            </w:r>
          </w:p>
        </w:tc>
        <w:tc>
          <w:tcPr>
            <w:tcW w:w="1000" w:type="dxa"/>
            <w:vAlign w:val="bottom"/>
          </w:tcPr>
          <w:p>
            <w:pPr>
              <w:jc w:val="right"/>
              <w:spacing w:after="0"/>
              <w:rPr>
                <w:sz w:val="20"/>
                <w:szCs w:val="20"/>
                <w:color w:val="auto"/>
              </w:rPr>
            </w:pPr>
            <w:r>
              <w:rPr>
                <w:rFonts w:ascii="Arial" w:cs="Arial" w:eastAsia="Arial" w:hAnsi="Arial"/>
                <w:sz w:val="17"/>
                <w:szCs w:val="17"/>
                <w:color w:val="auto"/>
              </w:rPr>
              <w:t>25.4%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Pr>
          <w:p>
            <w:pPr>
              <w:ind w:left="40"/>
              <w:spacing w:after="0"/>
              <w:rPr>
                <w:sz w:val="20"/>
                <w:szCs w:val="20"/>
                <w:color w:val="auto"/>
              </w:rPr>
            </w:pPr>
            <w:r>
              <w:rPr>
                <w:rFonts w:ascii="Arial" w:cs="Arial" w:eastAsia="Arial" w:hAnsi="Arial"/>
                <w:sz w:val="17"/>
                <w:szCs w:val="17"/>
                <w:color w:val="auto"/>
              </w:rPr>
              <w:t>Corporate and other bonds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0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Industrial and miscellaneous</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2,097,783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97,627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(835)</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2,194,575</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3,825,952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299,650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(835)</w:t>
            </w:r>
          </w:p>
        </w:tc>
        <w:tc>
          <w:tcPr>
            <w:tcW w:w="860" w:type="dxa"/>
            <w:vAlign w:val="bottom"/>
            <w:gridSpan w:val="2"/>
            <w:shd w:val="clear" w:color="auto" w:fill="CCEEFF"/>
          </w:tcPr>
          <w:p>
            <w:pPr>
              <w:jc w:val="right"/>
              <w:ind w:right="628"/>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4,124,767</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Held-to-maturity U.S. Treasury securities are held in trust pursuant to various states’ minimum fund requirements.</w:t>
      </w:r>
    </w:p>
    <w:p>
      <w:pPr>
        <w:spacing w:after="0" w:line="223" w:lineRule="exact"/>
        <w:rPr>
          <w:sz w:val="20"/>
          <w:szCs w:val="20"/>
          <w:color w:val="auto"/>
        </w:rPr>
      </w:pPr>
    </w:p>
    <w:p>
      <w:pPr>
        <w:ind w:right="40"/>
        <w:spacing w:after="0" w:line="281" w:lineRule="auto"/>
        <w:rPr>
          <w:sz w:val="20"/>
          <w:szCs w:val="20"/>
          <w:color w:val="auto"/>
        </w:rPr>
      </w:pPr>
      <w:r>
        <w:rPr>
          <w:rFonts w:ascii="Arial" w:cs="Arial" w:eastAsia="Arial" w:hAnsi="Arial"/>
          <w:sz w:val="17"/>
          <w:szCs w:val="17"/>
          <w:color w:val="auto"/>
        </w:rPr>
        <w:t>A summary of the amortized cost and fair value of our investments in held-to-maturity securities by contractual maturity as of March 31, 2020 and December 31, 2019 is shown below:</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80" w:type="dxa"/>
            <w:vAlign w:val="bottom"/>
            <w:gridSpan w:val="4"/>
          </w:tcPr>
          <w:p>
            <w:pPr>
              <w:jc w:val="right"/>
              <w:ind w:right="659"/>
              <w:spacing w:after="0"/>
              <w:rPr>
                <w:sz w:val="20"/>
                <w:szCs w:val="20"/>
                <w:color w:val="auto"/>
              </w:rPr>
            </w:pPr>
            <w:r>
              <w:rPr>
                <w:rFonts w:ascii="Arial" w:cs="Arial" w:eastAsia="Arial" w:hAnsi="Arial"/>
                <w:sz w:val="14"/>
                <w:szCs w:val="14"/>
                <w:b w:val="1"/>
                <w:bCs w:val="1"/>
                <w:color w:val="auto"/>
              </w:rPr>
              <w:t>March 31, 2020</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0" w:type="dxa"/>
            <w:vAlign w:val="bottom"/>
            <w:gridSpan w:val="5"/>
          </w:tcPr>
          <w:p>
            <w:pPr>
              <w:ind w:left="480"/>
              <w:spacing w:after="0"/>
              <w:rPr>
                <w:sz w:val="20"/>
                <w:szCs w:val="20"/>
                <w:color w:val="auto"/>
              </w:rPr>
            </w:pPr>
            <w:r>
              <w:rPr>
                <w:rFonts w:ascii="Arial" w:cs="Arial" w:eastAsia="Arial" w:hAnsi="Arial"/>
                <w:sz w:val="14"/>
                <w:szCs w:val="14"/>
                <w:b w:val="1"/>
                <w:bCs w:val="1"/>
                <w:color w:val="auto"/>
              </w:rPr>
              <w:t>December 31, 2019</w:t>
            </w:r>
          </w:p>
        </w:tc>
      </w:tr>
      <w:tr>
        <w:trPr>
          <w:trHeight w:val="143"/>
        </w:trPr>
        <w:tc>
          <w:tcPr>
            <w:tcW w:w="36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140"/>
              <w:spacing w:after="0" w:line="143" w:lineRule="exact"/>
              <w:rPr>
                <w:sz w:val="20"/>
                <w:szCs w:val="20"/>
                <w:color w:val="auto"/>
              </w:rPr>
            </w:pPr>
            <w:r>
              <w:rPr>
                <w:rFonts w:ascii="Arial" w:cs="Arial" w:eastAsia="Arial" w:hAnsi="Arial"/>
                <w:sz w:val="14"/>
                <w:szCs w:val="14"/>
                <w:b w:val="1"/>
                <w:bCs w:val="1"/>
                <w:color w:val="auto"/>
              </w:rPr>
              <w:t>Amortized</w:t>
            </w: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159"/>
              <w:spacing w:after="0" w:line="143" w:lineRule="exact"/>
              <w:rPr>
                <w:sz w:val="20"/>
                <w:szCs w:val="20"/>
                <w:color w:val="auto"/>
              </w:rPr>
            </w:pPr>
            <w:r>
              <w:rPr>
                <w:rFonts w:ascii="Arial" w:cs="Arial" w:eastAsia="Arial" w:hAnsi="Arial"/>
                <w:sz w:val="14"/>
                <w:szCs w:val="14"/>
                <w:b w:val="1"/>
                <w:bCs w:val="1"/>
                <w:color w:val="auto"/>
              </w:rPr>
              <w:t>Estimated</w:t>
            </w:r>
          </w:p>
        </w:tc>
        <w:tc>
          <w:tcPr>
            <w:tcW w:w="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120"/>
              <w:spacing w:after="0" w:line="143" w:lineRule="exact"/>
              <w:rPr>
                <w:sz w:val="20"/>
                <w:szCs w:val="20"/>
                <w:color w:val="auto"/>
              </w:rPr>
            </w:pPr>
            <w:r>
              <w:rPr>
                <w:rFonts w:ascii="Arial" w:cs="Arial" w:eastAsia="Arial" w:hAnsi="Arial"/>
                <w:sz w:val="14"/>
                <w:szCs w:val="14"/>
                <w:b w:val="1"/>
                <w:bCs w:val="1"/>
                <w:color w:val="auto"/>
              </w:rPr>
              <w:t>Amortized</w:t>
            </w:r>
          </w:p>
        </w:tc>
        <w:tc>
          <w:tcPr>
            <w:tcW w:w="2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159"/>
              <w:spacing w:after="0" w:line="143" w:lineRule="exact"/>
              <w:rPr>
                <w:sz w:val="20"/>
                <w:szCs w:val="20"/>
                <w:color w:val="auto"/>
              </w:rPr>
            </w:pPr>
            <w:r>
              <w:rPr>
                <w:rFonts w:ascii="Arial" w:cs="Arial" w:eastAsia="Arial" w:hAnsi="Arial"/>
                <w:sz w:val="14"/>
                <w:szCs w:val="14"/>
                <w:b w:val="1"/>
                <w:bCs w:val="1"/>
                <w:color w:val="auto"/>
              </w:rPr>
              <w:t>Estimated</w:t>
            </w:r>
          </w:p>
        </w:tc>
        <w:tc>
          <w:tcPr>
            <w:tcW w:w="120" w:type="dxa"/>
            <w:vAlign w:val="bottom"/>
          </w:tcPr>
          <w:p>
            <w:pPr>
              <w:spacing w:after="0"/>
              <w:rPr>
                <w:sz w:val="12"/>
                <w:szCs w:val="12"/>
                <w:color w:val="auto"/>
              </w:rPr>
            </w:pPr>
          </w:p>
        </w:tc>
      </w:tr>
      <w:tr>
        <w:trPr>
          <w:trHeight w:val="176"/>
        </w:trPr>
        <w:tc>
          <w:tcPr>
            <w:tcW w:w="3680" w:type="dxa"/>
            <w:vAlign w:val="bottom"/>
          </w:tcPr>
          <w:p>
            <w:pPr>
              <w:ind w:left="40"/>
              <w:spacing w:after="0"/>
              <w:rPr>
                <w:sz w:val="20"/>
                <w:szCs w:val="20"/>
                <w:color w:val="auto"/>
              </w:rPr>
            </w:pPr>
            <w:r>
              <w:rPr>
                <w:rFonts w:ascii="Arial" w:cs="Arial" w:eastAsia="Arial" w:hAnsi="Arial"/>
                <w:sz w:val="14"/>
                <w:szCs w:val="14"/>
                <w:b w:val="1"/>
                <w:bCs w:val="1"/>
                <w:color w:val="auto"/>
              </w:rPr>
              <w:t>Remaining Time to Maturit</w:t>
            </w:r>
            <w:r>
              <w:rPr>
                <w:rFonts w:ascii="Arial" w:cs="Arial" w:eastAsia="Arial" w:hAnsi="Arial"/>
                <w:sz w:val="14"/>
                <w:szCs w:val="14"/>
                <w:color w:val="auto"/>
              </w:rPr>
              <w:t>y</w:t>
            </w:r>
          </w:p>
        </w:tc>
        <w:tc>
          <w:tcPr>
            <w:tcW w:w="2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ind w:right="340"/>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159"/>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ind w:right="340"/>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Fair Value</w:t>
            </w:r>
          </w:p>
        </w:tc>
      </w:tr>
      <w:tr>
        <w:trPr>
          <w:trHeight w:val="235"/>
        </w:trPr>
        <w:tc>
          <w:tcPr>
            <w:tcW w:w="3680" w:type="dxa"/>
            <w:vAlign w:val="bottom"/>
            <w:tcBorders>
              <w:top w:val="single" w:sz="8" w:color="auto"/>
            </w:tcBorders>
          </w:tcPr>
          <w:p>
            <w:pPr>
              <w:spacing w:after="0"/>
              <w:rPr>
                <w:sz w:val="20"/>
                <w:szCs w:val="20"/>
                <w:color w:val="auto"/>
              </w:rPr>
            </w:pPr>
          </w:p>
        </w:tc>
        <w:tc>
          <w:tcPr>
            <w:tcW w:w="2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09"/>
        </w:trPr>
        <w:tc>
          <w:tcPr>
            <w:tcW w:w="3680" w:type="dxa"/>
            <w:vAlign w:val="bottom"/>
            <w:shd w:val="clear" w:color="auto" w:fill="CCEEFF"/>
          </w:tcPr>
          <w:p>
            <w:pPr>
              <w:ind w:left="40"/>
              <w:spacing w:after="0"/>
              <w:rPr>
                <w:sz w:val="20"/>
                <w:szCs w:val="20"/>
                <w:color w:val="auto"/>
              </w:rPr>
            </w:pPr>
            <w:r>
              <w:rPr>
                <w:rFonts w:ascii="Arial" w:cs="Arial" w:eastAsia="Arial" w:hAnsi="Arial"/>
                <w:sz w:val="17"/>
                <w:szCs w:val="17"/>
                <w:color w:val="auto"/>
              </w:rPr>
              <w:t>Less than one year</w:t>
            </w:r>
          </w:p>
        </w:tc>
        <w:tc>
          <w:tcPr>
            <w:tcW w:w="24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500,000</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497,770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499,165</w:t>
            </w:r>
          </w:p>
        </w:tc>
        <w:tc>
          <w:tcPr>
            <w:tcW w:w="120" w:type="dxa"/>
            <w:vAlign w:val="bottom"/>
            <w:shd w:val="clear" w:color="auto" w:fill="CCEEFF"/>
          </w:tcPr>
          <w:p>
            <w:pPr>
              <w:spacing w:after="0"/>
              <w:rPr>
                <w:sz w:val="18"/>
                <w:szCs w:val="18"/>
                <w:color w:val="auto"/>
              </w:rPr>
            </w:pPr>
          </w:p>
        </w:tc>
      </w:tr>
      <w:tr>
        <w:trPr>
          <w:trHeight w:val="209"/>
        </w:trPr>
        <w:tc>
          <w:tcPr>
            <w:tcW w:w="3680" w:type="dxa"/>
            <w:vAlign w:val="bottom"/>
          </w:tcPr>
          <w:p>
            <w:pPr>
              <w:ind w:left="40"/>
              <w:spacing w:after="0"/>
              <w:rPr>
                <w:sz w:val="20"/>
                <w:szCs w:val="20"/>
                <w:color w:val="auto"/>
              </w:rPr>
            </w:pPr>
            <w:r>
              <w:rPr>
                <w:rFonts w:ascii="Arial" w:cs="Arial" w:eastAsia="Arial" w:hAnsi="Arial"/>
                <w:sz w:val="17"/>
                <w:szCs w:val="17"/>
                <w:color w:val="auto"/>
              </w:rPr>
              <w:t>One to five years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2,099,588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2,220,096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2,099,268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2,215,640</w:t>
            </w:r>
          </w:p>
        </w:tc>
        <w:tc>
          <w:tcPr>
            <w:tcW w:w="120" w:type="dxa"/>
            <w:vAlign w:val="bottom"/>
          </w:tcPr>
          <w:p>
            <w:pPr>
              <w:spacing w:after="0"/>
              <w:rPr>
                <w:sz w:val="18"/>
                <w:szCs w:val="18"/>
                <w:color w:val="auto"/>
              </w:rPr>
            </w:pPr>
          </w:p>
        </w:tc>
      </w:tr>
      <w:tr>
        <w:trPr>
          <w:trHeight w:val="209"/>
        </w:trPr>
        <w:tc>
          <w:tcPr>
            <w:tcW w:w="3680" w:type="dxa"/>
            <w:vAlign w:val="bottom"/>
            <w:shd w:val="clear" w:color="auto" w:fill="CCEEFF"/>
          </w:tcPr>
          <w:p>
            <w:pPr>
              <w:ind w:left="40"/>
              <w:spacing w:after="0"/>
              <w:rPr>
                <w:sz w:val="20"/>
                <w:szCs w:val="20"/>
                <w:color w:val="auto"/>
              </w:rPr>
            </w:pPr>
            <w:r>
              <w:rPr>
                <w:rFonts w:ascii="Arial" w:cs="Arial" w:eastAsia="Arial" w:hAnsi="Arial"/>
                <w:sz w:val="17"/>
                <w:szCs w:val="17"/>
                <w:color w:val="auto"/>
              </w:rPr>
              <w:t>Five to ten years</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620,255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664,805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620,134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655,923</w:t>
            </w:r>
          </w:p>
        </w:tc>
        <w:tc>
          <w:tcPr>
            <w:tcW w:w="120" w:type="dxa"/>
            <w:vAlign w:val="bottom"/>
            <w:shd w:val="clear" w:color="auto" w:fill="CCEEFF"/>
          </w:tcPr>
          <w:p>
            <w:pPr>
              <w:spacing w:after="0"/>
              <w:rPr>
                <w:sz w:val="18"/>
                <w:szCs w:val="18"/>
                <w:color w:val="auto"/>
              </w:rPr>
            </w:pPr>
          </w:p>
        </w:tc>
      </w:tr>
      <w:tr>
        <w:trPr>
          <w:trHeight w:val="215"/>
        </w:trPr>
        <w:tc>
          <w:tcPr>
            <w:tcW w:w="3680" w:type="dxa"/>
            <w:vAlign w:val="bottom"/>
          </w:tcPr>
          <w:p>
            <w:pPr>
              <w:ind w:left="40"/>
              <w:spacing w:after="0"/>
              <w:rPr>
                <w:sz w:val="20"/>
                <w:szCs w:val="20"/>
                <w:color w:val="auto"/>
              </w:rPr>
            </w:pPr>
            <w:r>
              <w:rPr>
                <w:rFonts w:ascii="Arial" w:cs="Arial" w:eastAsia="Arial" w:hAnsi="Arial"/>
                <w:sz w:val="17"/>
                <w:szCs w:val="17"/>
                <w:color w:val="auto"/>
              </w:rPr>
              <w:t>More than 10 years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606,561</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754,039</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606,550</w:t>
            </w:r>
          </w:p>
        </w:tc>
        <w:tc>
          <w:tcPr>
            <w:tcW w:w="2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754,039</w:t>
            </w:r>
          </w:p>
        </w:tc>
        <w:tc>
          <w:tcPr>
            <w:tcW w:w="120" w:type="dxa"/>
            <w:vAlign w:val="bottom"/>
          </w:tcPr>
          <w:p>
            <w:pPr>
              <w:spacing w:after="0"/>
              <w:rPr>
                <w:sz w:val="18"/>
                <w:szCs w:val="18"/>
                <w:color w:val="auto"/>
              </w:rPr>
            </w:pPr>
          </w:p>
        </w:tc>
      </w:tr>
      <w:tr>
        <w:trPr>
          <w:trHeight w:val="249"/>
        </w:trPr>
        <w:tc>
          <w:tcPr>
            <w:tcW w:w="368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246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3,826,404</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4,136,710</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3,825,952</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4,124,767</w:t>
            </w:r>
          </w:p>
        </w:tc>
        <w:tc>
          <w:tcPr>
            <w:tcW w:w="120" w:type="dxa"/>
            <w:vAlign w:val="bottom"/>
            <w:shd w:val="clear" w:color="auto" w:fill="CCEEFF"/>
          </w:tcPr>
          <w:p>
            <w:pPr>
              <w:spacing w:after="0"/>
              <w:rPr>
                <w:sz w:val="21"/>
                <w:szCs w:val="21"/>
                <w:color w:val="auto"/>
              </w:rPr>
            </w:pPr>
          </w:p>
        </w:tc>
      </w:tr>
      <w:tr>
        <w:trPr>
          <w:trHeight w:val="618"/>
        </w:trPr>
        <w:tc>
          <w:tcPr>
            <w:tcW w:w="3680" w:type="dxa"/>
            <w:vAlign w:val="bottom"/>
            <w:tcBorders>
              <w:top w:val="single" w:sz="8" w:color="CCEEFF"/>
              <w:bottom w:val="single" w:sz="8" w:color="auto"/>
            </w:tcBorders>
          </w:tcPr>
          <w:p>
            <w:pPr>
              <w:spacing w:after="0"/>
              <w:rPr>
                <w:sz w:val="24"/>
                <w:szCs w:val="24"/>
                <w:color w:val="auto"/>
              </w:rPr>
            </w:pPr>
          </w:p>
        </w:tc>
        <w:tc>
          <w:tcPr>
            <w:tcW w:w="2180" w:type="dxa"/>
            <w:vAlign w:val="bottom"/>
            <w:tcBorders>
              <w:top w:val="single" w:sz="8" w:color="CCEEFF"/>
              <w:bottom w:val="single" w:sz="8" w:color="auto"/>
            </w:tcBorders>
          </w:tcPr>
          <w:p>
            <w:pPr>
              <w:jc w:val="right"/>
              <w:ind w:right="75"/>
              <w:spacing w:after="0"/>
              <w:rPr>
                <w:sz w:val="20"/>
                <w:szCs w:val="20"/>
                <w:color w:val="auto"/>
              </w:rPr>
            </w:pPr>
            <w:r>
              <w:rPr>
                <w:rFonts w:ascii="Arial" w:cs="Arial" w:eastAsia="Arial" w:hAnsi="Arial"/>
                <w:sz w:val="17"/>
                <w:szCs w:val="17"/>
                <w:color w:val="auto"/>
              </w:rPr>
              <w:t>51</w:t>
            </w:r>
          </w:p>
        </w:tc>
        <w:tc>
          <w:tcPr>
            <w:tcW w:w="1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80"/>
          </w:cols>
          <w:pgMar w:left="320" w:top="544" w:right="299" w:bottom="1440" w:gutter="0" w:footer="0" w:header="0"/>
        </w:sectPr>
      </w:pPr>
    </w:p>
    <w:bookmarkStart w:id="54" w:name="page55"/>
    <w:bookmarkEnd w:id="54"/>
    <w:p>
      <w:pPr>
        <w:ind w:left="640"/>
        <w:spacing w:after="0"/>
        <w:rPr>
          <w:sz w:val="20"/>
          <w:szCs w:val="20"/>
          <w:color w:val="auto"/>
        </w:rPr>
      </w:pPr>
      <w:r>
        <w:rPr>
          <w:rFonts w:ascii="Arial" w:cs="Arial" w:eastAsia="Arial" w:hAnsi="Arial"/>
          <w:sz w:val="17"/>
          <w:szCs w:val="17"/>
          <w:b w:val="1"/>
          <w:bCs w:val="1"/>
          <w:i w:val="1"/>
          <w:iCs w:val="1"/>
          <w:color w:val="auto"/>
        </w:rPr>
        <w:t>Credit Rating of Fixed-Maturity Securities</w:t>
      </w:r>
    </w:p>
    <w:p>
      <w:pPr>
        <w:spacing w:after="0" w:line="15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table below summarizes the credit quality of our available-for-sale fixed-maturity securities as of March 31, 2020 and December 31, 2019 as rated by</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Standard &amp; Poor’s (or, if unavailable from Standard &amp; Poor’s, then Moody’s or Fitch):</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4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40" w:type="dxa"/>
            <w:vAlign w:val="bottom"/>
            <w:gridSpan w:val="5"/>
          </w:tcPr>
          <w:p>
            <w:pPr>
              <w:ind w:left="580"/>
              <w:spacing w:after="0"/>
              <w:rPr>
                <w:sz w:val="20"/>
                <w:szCs w:val="20"/>
                <w:color w:val="auto"/>
              </w:rPr>
            </w:pPr>
            <w:r>
              <w:rPr>
                <w:rFonts w:ascii="Arial" w:cs="Arial" w:eastAsia="Arial" w:hAnsi="Arial"/>
                <w:sz w:val="14"/>
                <w:szCs w:val="14"/>
                <w:b w:val="1"/>
                <w:bCs w:val="1"/>
                <w:color w:val="auto"/>
              </w:rPr>
              <w:t>March 31, 2020</w:t>
            </w:r>
          </w:p>
        </w:tc>
        <w:tc>
          <w:tcPr>
            <w:tcW w:w="140" w:type="dxa"/>
            <w:vAlign w:val="bottom"/>
          </w:tcPr>
          <w:p>
            <w:pPr>
              <w:spacing w:after="0"/>
              <w:rPr>
                <w:sz w:val="15"/>
                <w:szCs w:val="15"/>
                <w:color w:val="auto"/>
              </w:rPr>
            </w:pPr>
          </w:p>
        </w:tc>
        <w:tc>
          <w:tcPr>
            <w:tcW w:w="2440" w:type="dxa"/>
            <w:vAlign w:val="bottom"/>
            <w:gridSpan w:val="5"/>
          </w:tcPr>
          <w:p>
            <w:pPr>
              <w:ind w:left="50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43"/>
        </w:trPr>
        <w:tc>
          <w:tcPr>
            <w:tcW w:w="44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ind w:right="38"/>
              <w:spacing w:after="0" w:line="143" w:lineRule="exact"/>
              <w:rPr>
                <w:sz w:val="20"/>
                <w:szCs w:val="20"/>
                <w:color w:val="auto"/>
              </w:rPr>
            </w:pPr>
            <w:r>
              <w:rPr>
                <w:rFonts w:ascii="Arial" w:cs="Arial" w:eastAsia="Arial" w:hAnsi="Arial"/>
                <w:sz w:val="14"/>
                <w:szCs w:val="14"/>
                <w:b w:val="1"/>
                <w:bCs w:val="1"/>
                <w:color w:val="auto"/>
                <w:w w:val="92"/>
              </w:rPr>
              <w:t>Estimated</w:t>
            </w:r>
          </w:p>
        </w:tc>
        <w:tc>
          <w:tcPr>
            <w:tcW w:w="2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90"/>
              </w:rPr>
              <w:t>Percentage of</w:t>
            </w:r>
          </w:p>
        </w:tc>
        <w:tc>
          <w:tcPr>
            <w:tcW w:w="260" w:type="dxa"/>
            <w:vAlign w:val="bottom"/>
            <w:gridSpan w:val="2"/>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2"/>
          </w:tcPr>
          <w:p>
            <w:pPr>
              <w:jc w:val="center"/>
              <w:ind w:right="340"/>
              <w:spacing w:after="0" w:line="143" w:lineRule="exact"/>
              <w:rPr>
                <w:sz w:val="20"/>
                <w:szCs w:val="20"/>
                <w:color w:val="auto"/>
              </w:rPr>
            </w:pPr>
            <w:r>
              <w:rPr>
                <w:rFonts w:ascii="Arial" w:cs="Arial" w:eastAsia="Arial" w:hAnsi="Arial"/>
                <w:sz w:val="14"/>
                <w:szCs w:val="14"/>
                <w:b w:val="1"/>
                <w:bCs w:val="1"/>
                <w:color w:val="auto"/>
                <w:w w:val="92"/>
              </w:rPr>
              <w:t>Estimated</w:t>
            </w:r>
          </w:p>
        </w:tc>
        <w:tc>
          <w:tcPr>
            <w:tcW w:w="110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88"/>
              </w:rPr>
              <w:t>Percentage of</w:t>
            </w:r>
          </w:p>
        </w:tc>
        <w:tc>
          <w:tcPr>
            <w:tcW w:w="1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4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center"/>
              <w:ind w:right="38"/>
              <w:spacing w:after="0" w:line="157" w:lineRule="exact"/>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3"/>
                <w:szCs w:val="13"/>
                <w:color w:val="auto"/>
              </w:rPr>
            </w:pPr>
          </w:p>
        </w:tc>
        <w:tc>
          <w:tcPr>
            <w:tcW w:w="1340" w:type="dxa"/>
            <w:vAlign w:val="bottom"/>
            <w:gridSpan w:val="3"/>
          </w:tcPr>
          <w:p>
            <w:pPr>
              <w:jc w:val="center"/>
              <w:ind w:right="240"/>
              <w:spacing w:after="0" w:line="157"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1200" w:type="dxa"/>
            <w:vAlign w:val="bottom"/>
            <w:gridSpan w:val="2"/>
          </w:tcPr>
          <w:p>
            <w:pPr>
              <w:jc w:val="center"/>
              <w:ind w:right="340"/>
              <w:spacing w:after="0" w:line="157" w:lineRule="exact"/>
              <w:rPr>
                <w:sz w:val="20"/>
                <w:szCs w:val="20"/>
                <w:color w:val="auto"/>
              </w:rPr>
            </w:pPr>
            <w:r>
              <w:rPr>
                <w:rFonts w:ascii="Arial" w:cs="Arial" w:eastAsia="Arial" w:hAnsi="Arial"/>
                <w:sz w:val="14"/>
                <w:szCs w:val="14"/>
                <w:b w:val="1"/>
                <w:bCs w:val="1"/>
                <w:color w:val="auto"/>
              </w:rPr>
              <w:t>Fair</w:t>
            </w:r>
          </w:p>
        </w:tc>
        <w:tc>
          <w:tcPr>
            <w:tcW w:w="1240" w:type="dxa"/>
            <w:vAlign w:val="bottom"/>
            <w:gridSpan w:val="3"/>
          </w:tcPr>
          <w:p>
            <w:pPr>
              <w:jc w:val="center"/>
              <w:ind w:right="100"/>
              <w:spacing w:after="0" w:line="157"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44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38"/>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5"/>
                <w:szCs w:val="15"/>
                <w:color w:val="auto"/>
              </w:rPr>
            </w:pPr>
          </w:p>
        </w:tc>
        <w:tc>
          <w:tcPr>
            <w:tcW w:w="13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5"/>
                <w:szCs w:val="15"/>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Value</w:t>
            </w:r>
          </w:p>
        </w:tc>
        <w:tc>
          <w:tcPr>
            <w:tcW w:w="1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468"/>
        </w:trPr>
        <w:tc>
          <w:tcPr>
            <w:tcW w:w="4440" w:type="dxa"/>
            <w:vAlign w:val="bottom"/>
          </w:tcPr>
          <w:p>
            <w:pPr>
              <w:ind w:left="40"/>
              <w:spacing w:after="0"/>
              <w:rPr>
                <w:sz w:val="20"/>
                <w:szCs w:val="20"/>
                <w:color w:val="auto"/>
              </w:rPr>
            </w:pPr>
            <w:r>
              <w:rPr>
                <w:rFonts w:ascii="Arial" w:cs="Arial" w:eastAsia="Arial" w:hAnsi="Arial"/>
                <w:sz w:val="17"/>
                <w:szCs w:val="17"/>
                <w:b w:val="1"/>
                <w:bCs w:val="1"/>
                <w:color w:val="auto"/>
              </w:rPr>
              <w:t>Rating</w:t>
            </w:r>
          </w:p>
        </w:tc>
        <w:tc>
          <w:tcPr>
            <w:tcW w:w="15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440" w:type="dxa"/>
            <w:vAlign w:val="bottom"/>
            <w:shd w:val="clear" w:color="auto" w:fill="CCEEFF"/>
          </w:tcPr>
          <w:p>
            <w:pPr>
              <w:ind w:left="40"/>
              <w:spacing w:after="0"/>
              <w:rPr>
                <w:sz w:val="20"/>
                <w:szCs w:val="20"/>
                <w:color w:val="auto"/>
              </w:rPr>
            </w:pPr>
            <w:r>
              <w:rPr>
                <w:rFonts w:ascii="Arial" w:cs="Arial" w:eastAsia="Arial" w:hAnsi="Arial"/>
                <w:sz w:val="17"/>
                <w:szCs w:val="17"/>
                <w:color w:val="auto"/>
              </w:rPr>
              <w:t>U.S. Treasury securities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5,136,240</w:t>
            </w:r>
          </w:p>
        </w:tc>
        <w:tc>
          <w:tcPr>
            <w:tcW w:w="160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3.4%</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7,061,100</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Corporate and municipal bonds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tcPr>
          <w:p>
            <w:pPr>
              <w:ind w:left="200"/>
              <w:spacing w:after="0"/>
              <w:rPr>
                <w:sz w:val="20"/>
                <w:szCs w:val="20"/>
                <w:color w:val="auto"/>
              </w:rPr>
            </w:pPr>
            <w:r>
              <w:rPr>
                <w:rFonts w:ascii="Arial" w:cs="Arial" w:eastAsia="Arial" w:hAnsi="Arial"/>
                <w:sz w:val="17"/>
                <w:szCs w:val="17"/>
                <w:color w:val="auto"/>
              </w:rPr>
              <w:t>AAA</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2,022,146</w:t>
            </w:r>
          </w:p>
        </w:tc>
        <w:tc>
          <w:tcPr>
            <w:tcW w:w="1600" w:type="dxa"/>
            <w:vAlign w:val="bottom"/>
            <w:gridSpan w:val="4"/>
          </w:tcPr>
          <w:p>
            <w:pPr>
              <w:jc w:val="right"/>
              <w:ind w:right="120"/>
              <w:spacing w:after="0"/>
              <w:rPr>
                <w:sz w:val="20"/>
                <w:szCs w:val="20"/>
                <w:color w:val="auto"/>
              </w:rPr>
            </w:pPr>
            <w:r>
              <w:rPr>
                <w:rFonts w:ascii="Arial" w:cs="Arial" w:eastAsia="Arial" w:hAnsi="Arial"/>
                <w:sz w:val="17"/>
                <w:szCs w:val="17"/>
                <w:color w:val="auto"/>
              </w:rPr>
              <w:t>1.3%</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1,996,676</w:t>
            </w:r>
          </w:p>
        </w:tc>
        <w:tc>
          <w:tcPr>
            <w:tcW w:w="2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AA</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7,839,200</w:t>
            </w:r>
          </w:p>
        </w:tc>
        <w:tc>
          <w:tcPr>
            <w:tcW w:w="160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5.2%</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8,809,480</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tcPr>
          <w:p>
            <w:pPr>
              <w:ind w:left="200"/>
              <w:spacing w:after="0"/>
              <w:rPr>
                <w:sz w:val="20"/>
                <w:szCs w:val="20"/>
                <w:color w:val="auto"/>
              </w:rPr>
            </w:pPr>
            <w:r>
              <w:rPr>
                <w:rFonts w:ascii="Arial" w:cs="Arial" w:eastAsia="Arial" w:hAnsi="Arial"/>
                <w:sz w:val="17"/>
                <w:szCs w:val="17"/>
                <w:color w:val="auto"/>
              </w:rPr>
              <w:t>A</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31,511,319</w:t>
            </w:r>
          </w:p>
        </w:tc>
        <w:tc>
          <w:tcPr>
            <w:tcW w:w="1600" w:type="dxa"/>
            <w:vAlign w:val="bottom"/>
            <w:gridSpan w:val="4"/>
          </w:tcPr>
          <w:p>
            <w:pPr>
              <w:jc w:val="right"/>
              <w:ind w:right="120"/>
              <w:spacing w:after="0"/>
              <w:rPr>
                <w:sz w:val="20"/>
                <w:szCs w:val="20"/>
                <w:color w:val="auto"/>
              </w:rPr>
            </w:pPr>
            <w:r>
              <w:rPr>
                <w:rFonts w:ascii="Arial" w:cs="Arial" w:eastAsia="Arial" w:hAnsi="Arial"/>
                <w:sz w:val="17"/>
                <w:szCs w:val="17"/>
                <w:color w:val="auto"/>
              </w:rPr>
              <w:t>20.7%</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34,636,236</w:t>
            </w:r>
          </w:p>
        </w:tc>
        <w:tc>
          <w:tcPr>
            <w:tcW w:w="2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BBB</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79,968,943</w:t>
            </w:r>
          </w:p>
        </w:tc>
        <w:tc>
          <w:tcPr>
            <w:tcW w:w="160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52.7%</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89,501,460</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tcPr>
          <w:p>
            <w:pPr>
              <w:ind w:left="200"/>
              <w:spacing w:after="0"/>
              <w:rPr>
                <w:sz w:val="20"/>
                <w:szCs w:val="20"/>
                <w:color w:val="auto"/>
              </w:rPr>
            </w:pPr>
            <w:r>
              <w:rPr>
                <w:rFonts w:ascii="Arial" w:cs="Arial" w:eastAsia="Arial" w:hAnsi="Arial"/>
                <w:sz w:val="17"/>
                <w:szCs w:val="17"/>
                <w:color w:val="auto"/>
              </w:rPr>
              <w:t>BB</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1,562,973</w:t>
            </w:r>
          </w:p>
        </w:tc>
        <w:tc>
          <w:tcPr>
            <w:tcW w:w="260" w:type="dxa"/>
            <w:vAlign w:val="bottom"/>
          </w:tcPr>
          <w:p>
            <w:pPr>
              <w:spacing w:after="0"/>
              <w:rPr>
                <w:sz w:val="18"/>
                <w:szCs w:val="18"/>
                <w:color w:val="auto"/>
              </w:rPr>
            </w:pPr>
          </w:p>
        </w:tc>
        <w:tc>
          <w:tcPr>
            <w:tcW w:w="1340" w:type="dxa"/>
            <w:vAlign w:val="bottom"/>
            <w:gridSpan w:val="3"/>
          </w:tcPr>
          <w:p>
            <w:pPr>
              <w:jc w:val="right"/>
              <w:ind w:right="120"/>
              <w:spacing w:after="0"/>
              <w:rPr>
                <w:sz w:val="20"/>
                <w:szCs w:val="20"/>
                <w:color w:val="auto"/>
              </w:rPr>
            </w:pPr>
            <w:r>
              <w:rPr>
                <w:rFonts w:ascii="Arial" w:cs="Arial" w:eastAsia="Arial" w:hAnsi="Arial"/>
                <w:sz w:val="17"/>
                <w:szCs w:val="17"/>
                <w:color w:val="auto"/>
              </w:rPr>
              <w:t>1.0%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4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44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corporate and municipal bonds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122,904,581</w:t>
            </w:r>
          </w:p>
        </w:tc>
        <w:tc>
          <w:tcPr>
            <w:tcW w:w="2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80.9%</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134,943,852</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Residential mortgage backed securities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tcPr>
          <w:p>
            <w:pPr>
              <w:ind w:left="200"/>
              <w:spacing w:after="0"/>
              <w:rPr>
                <w:sz w:val="20"/>
                <w:szCs w:val="20"/>
                <w:color w:val="auto"/>
              </w:rPr>
            </w:pPr>
            <w:r>
              <w:rPr>
                <w:rFonts w:ascii="Arial" w:cs="Arial" w:eastAsia="Arial" w:hAnsi="Arial"/>
                <w:sz w:val="17"/>
                <w:szCs w:val="17"/>
                <w:color w:val="auto"/>
              </w:rPr>
              <w:t>AAA</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2,688,010</w:t>
            </w:r>
          </w:p>
        </w:tc>
        <w:tc>
          <w:tcPr>
            <w:tcW w:w="1600" w:type="dxa"/>
            <w:vAlign w:val="bottom"/>
            <w:gridSpan w:val="4"/>
          </w:tcPr>
          <w:p>
            <w:pPr>
              <w:jc w:val="right"/>
              <w:ind w:right="120"/>
              <w:spacing w:after="0"/>
              <w:rPr>
                <w:sz w:val="20"/>
                <w:szCs w:val="20"/>
                <w:color w:val="auto"/>
              </w:rPr>
            </w:pPr>
            <w:r>
              <w:rPr>
                <w:rFonts w:ascii="Arial" w:cs="Arial" w:eastAsia="Arial" w:hAnsi="Arial"/>
                <w:sz w:val="17"/>
                <w:szCs w:val="17"/>
                <w:color w:val="auto"/>
              </w:rPr>
              <w:t>1.8%</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2,976,306</w:t>
            </w:r>
          </w:p>
        </w:tc>
        <w:tc>
          <w:tcPr>
            <w:tcW w:w="2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AA</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17,071,264</w:t>
            </w:r>
          </w:p>
        </w:tc>
        <w:tc>
          <w:tcPr>
            <w:tcW w:w="160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11.2%</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18,440,382</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tcPr>
          <w:p>
            <w:pPr>
              <w:ind w:left="200"/>
              <w:spacing w:after="0"/>
              <w:rPr>
                <w:sz w:val="20"/>
                <w:szCs w:val="20"/>
                <w:color w:val="auto"/>
              </w:rPr>
            </w:pPr>
            <w:r>
              <w:rPr>
                <w:rFonts w:ascii="Arial" w:cs="Arial" w:eastAsia="Arial" w:hAnsi="Arial"/>
                <w:sz w:val="17"/>
                <w:szCs w:val="17"/>
                <w:color w:val="auto"/>
              </w:rPr>
              <w:t>A</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2,077,613</w:t>
            </w:r>
          </w:p>
        </w:tc>
        <w:tc>
          <w:tcPr>
            <w:tcW w:w="1600" w:type="dxa"/>
            <w:vAlign w:val="bottom"/>
            <w:gridSpan w:val="4"/>
          </w:tcPr>
          <w:p>
            <w:pPr>
              <w:jc w:val="right"/>
              <w:ind w:right="120"/>
              <w:spacing w:after="0"/>
              <w:rPr>
                <w:sz w:val="20"/>
                <w:szCs w:val="20"/>
                <w:color w:val="auto"/>
              </w:rPr>
            </w:pPr>
            <w:r>
              <w:rPr>
                <w:rFonts w:ascii="Arial" w:cs="Arial" w:eastAsia="Arial" w:hAnsi="Arial"/>
                <w:sz w:val="17"/>
                <w:szCs w:val="17"/>
                <w:color w:val="auto"/>
              </w:rPr>
              <w:t>1.4%</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2,471,761</w:t>
            </w:r>
          </w:p>
        </w:tc>
        <w:tc>
          <w:tcPr>
            <w:tcW w:w="2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CCC</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1,020,476</w:t>
            </w:r>
          </w:p>
        </w:tc>
        <w:tc>
          <w:tcPr>
            <w:tcW w:w="160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0.7%</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1,174,273</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tcPr>
          <w:p>
            <w:pPr>
              <w:ind w:left="200"/>
              <w:spacing w:after="0"/>
              <w:rPr>
                <w:sz w:val="20"/>
                <w:szCs w:val="20"/>
                <w:color w:val="auto"/>
              </w:rPr>
            </w:pPr>
            <w:r>
              <w:rPr>
                <w:rFonts w:ascii="Arial" w:cs="Arial" w:eastAsia="Arial" w:hAnsi="Arial"/>
                <w:sz w:val="17"/>
                <w:szCs w:val="17"/>
                <w:color w:val="auto"/>
              </w:rPr>
              <w:t>CC</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61,110</w:t>
            </w:r>
          </w:p>
        </w:tc>
        <w:tc>
          <w:tcPr>
            <w:tcW w:w="1600" w:type="dxa"/>
            <w:vAlign w:val="bottom"/>
            <w:gridSpan w:val="4"/>
          </w:tcPr>
          <w:p>
            <w:pPr>
              <w:jc w:val="right"/>
              <w:ind w:right="120"/>
              <w:spacing w:after="0"/>
              <w:rPr>
                <w:sz w:val="20"/>
                <w:szCs w:val="20"/>
                <w:color w:val="auto"/>
              </w:rPr>
            </w:pPr>
            <w:r>
              <w:rPr>
                <w:rFonts w:ascii="Arial" w:cs="Arial" w:eastAsia="Arial" w:hAnsi="Arial"/>
                <w:sz w:val="17"/>
                <w:szCs w:val="17"/>
                <w:color w:val="auto"/>
              </w:rPr>
              <w:t>0.0%</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86,461</w:t>
            </w:r>
          </w:p>
        </w:tc>
        <w:tc>
          <w:tcPr>
            <w:tcW w:w="2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16,455</w:t>
            </w:r>
          </w:p>
        </w:tc>
        <w:tc>
          <w:tcPr>
            <w:tcW w:w="160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0.0%</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17,813</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tcPr>
          <w:p>
            <w:pPr>
              <w:ind w:left="200"/>
              <w:spacing w:after="0"/>
              <w:rPr>
                <w:sz w:val="20"/>
                <w:szCs w:val="20"/>
                <w:color w:val="auto"/>
              </w:rPr>
            </w:pPr>
            <w:r>
              <w:rPr>
                <w:rFonts w:ascii="Arial" w:cs="Arial" w:eastAsia="Arial" w:hAnsi="Arial"/>
                <w:sz w:val="17"/>
                <w:szCs w:val="17"/>
                <w:color w:val="auto"/>
              </w:rPr>
              <w:t>D</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181,612</w:t>
            </w:r>
          </w:p>
        </w:tc>
        <w:tc>
          <w:tcPr>
            <w:tcW w:w="1600" w:type="dxa"/>
            <w:vAlign w:val="bottom"/>
            <w:gridSpan w:val="4"/>
          </w:tcPr>
          <w:p>
            <w:pPr>
              <w:jc w:val="right"/>
              <w:ind w:right="120"/>
              <w:spacing w:after="0"/>
              <w:rPr>
                <w:sz w:val="20"/>
                <w:szCs w:val="20"/>
                <w:color w:val="auto"/>
              </w:rPr>
            </w:pPr>
            <w:r>
              <w:rPr>
                <w:rFonts w:ascii="Arial" w:cs="Arial" w:eastAsia="Arial" w:hAnsi="Arial"/>
                <w:sz w:val="17"/>
                <w:szCs w:val="17"/>
                <w:color w:val="auto"/>
              </w:rPr>
              <w:t>0.1%</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215,015</w:t>
            </w:r>
          </w:p>
        </w:tc>
        <w:tc>
          <w:tcPr>
            <w:tcW w:w="2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Non-rated</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722,533</w:t>
            </w:r>
          </w:p>
        </w:tc>
        <w:tc>
          <w:tcPr>
            <w:tcW w:w="2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0.5%</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849,218</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4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4440" w:type="dxa"/>
            <w:vAlign w:val="bottom"/>
          </w:tcPr>
          <w:p>
            <w:pPr>
              <w:ind w:left="360"/>
              <w:spacing w:after="0"/>
              <w:rPr>
                <w:sz w:val="20"/>
                <w:szCs w:val="20"/>
                <w:color w:val="auto"/>
              </w:rPr>
            </w:pPr>
            <w:r>
              <w:rPr>
                <w:rFonts w:ascii="Arial" w:cs="Arial" w:eastAsia="Arial" w:hAnsi="Arial"/>
                <w:sz w:val="17"/>
                <w:szCs w:val="17"/>
                <w:color w:val="auto"/>
              </w:rPr>
              <w:t>Total residential mortgage backed securities</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23,839,073</w:t>
            </w:r>
          </w:p>
        </w:tc>
        <w:tc>
          <w:tcPr>
            <w:tcW w:w="260" w:type="dxa"/>
            <w:vAlign w:val="bottom"/>
          </w:tcPr>
          <w:p>
            <w:pPr>
              <w:spacing w:after="0"/>
              <w:rPr>
                <w:sz w:val="18"/>
                <w:szCs w:val="18"/>
                <w:color w:val="auto"/>
              </w:rPr>
            </w:pPr>
          </w:p>
        </w:tc>
        <w:tc>
          <w:tcPr>
            <w:tcW w:w="1340" w:type="dxa"/>
            <w:vAlign w:val="bottom"/>
            <w:gridSpan w:val="3"/>
          </w:tcPr>
          <w:p>
            <w:pPr>
              <w:jc w:val="right"/>
              <w:ind w:right="120"/>
              <w:spacing w:after="0"/>
              <w:rPr>
                <w:sz w:val="20"/>
                <w:szCs w:val="20"/>
                <w:color w:val="auto"/>
              </w:rPr>
            </w:pPr>
            <w:r>
              <w:rPr>
                <w:rFonts w:ascii="Arial" w:cs="Arial" w:eastAsia="Arial" w:hAnsi="Arial"/>
                <w:sz w:val="17"/>
                <w:szCs w:val="17"/>
                <w:color w:val="auto"/>
              </w:rPr>
              <w:t>15.7%</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26,231,229</w:t>
            </w:r>
          </w:p>
        </w:tc>
        <w:tc>
          <w:tcPr>
            <w:tcW w:w="2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15.6%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tcPr>
          <w:p>
            <w:pPr>
              <w:ind w:left="40"/>
              <w:spacing w:after="0"/>
              <w:rPr>
                <w:sz w:val="20"/>
                <w:szCs w:val="20"/>
                <w:color w:val="auto"/>
              </w:rPr>
            </w:pPr>
            <w:r>
              <w:rPr>
                <w:rFonts w:ascii="Arial" w:cs="Arial" w:eastAsia="Arial" w:hAnsi="Arial"/>
                <w:sz w:val="17"/>
                <w:szCs w:val="17"/>
                <w:b w:val="1"/>
                <w:bCs w:val="1"/>
                <w:color w:val="auto"/>
              </w:rPr>
              <w:t>Total</w:t>
            </w:r>
          </w:p>
        </w:tc>
        <w:tc>
          <w:tcPr>
            <w:tcW w:w="15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w w:val="97"/>
              </w:rPr>
              <w:t>151,879,894</w:t>
            </w:r>
          </w:p>
        </w:tc>
        <w:tc>
          <w:tcPr>
            <w:tcW w:w="260" w:type="dxa"/>
            <w:vAlign w:val="bottom"/>
          </w:tcPr>
          <w:p>
            <w:pPr>
              <w:spacing w:after="0"/>
              <w:rPr>
                <w:sz w:val="18"/>
                <w:szCs w:val="18"/>
                <w:color w:val="auto"/>
              </w:rPr>
            </w:pPr>
          </w:p>
        </w:tc>
        <w:tc>
          <w:tcPr>
            <w:tcW w:w="1340" w:type="dxa"/>
            <w:vAlign w:val="bottom"/>
            <w:gridSpan w:val="3"/>
          </w:tcPr>
          <w:p>
            <w:pPr>
              <w:jc w:val="right"/>
              <w:ind w:right="120"/>
              <w:spacing w:after="0"/>
              <w:rPr>
                <w:sz w:val="20"/>
                <w:szCs w:val="20"/>
                <w:color w:val="auto"/>
              </w:rPr>
            </w:pPr>
            <w:r>
              <w:rPr>
                <w:rFonts w:ascii="Arial" w:cs="Arial" w:eastAsia="Arial" w:hAnsi="Arial"/>
                <w:sz w:val="17"/>
                <w:szCs w:val="17"/>
                <w:color w:val="auto"/>
              </w:rPr>
              <w:t>100.0%</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w w:val="97"/>
              </w:rPr>
              <w:t>168,236,181</w:t>
            </w:r>
          </w:p>
        </w:tc>
        <w:tc>
          <w:tcPr>
            <w:tcW w:w="2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gridSpan w:val="2"/>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10020" w:type="dxa"/>
            <w:vAlign w:val="bottom"/>
            <w:gridSpan w:val="11"/>
          </w:tcPr>
          <w:p>
            <w:pPr>
              <w:ind w:left="640"/>
              <w:spacing w:after="0"/>
              <w:rPr>
                <w:sz w:val="20"/>
                <w:szCs w:val="20"/>
                <w:color w:val="auto"/>
              </w:rPr>
            </w:pPr>
            <w:r>
              <w:rPr>
                <w:rFonts w:ascii="Arial" w:cs="Arial" w:eastAsia="Arial" w:hAnsi="Arial"/>
                <w:sz w:val="17"/>
                <w:szCs w:val="17"/>
                <w:color w:val="auto"/>
                <w:w w:val="97"/>
              </w:rPr>
              <w:t>The table below summarizes the average yield by type of fixed-maturity security as of March 31, 2020 and December 31, 2019:</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4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4"/>
              </w:rPr>
              <w:t>March 31,</w:t>
            </w:r>
          </w:p>
        </w:tc>
        <w:tc>
          <w:tcPr>
            <w:tcW w:w="1240" w:type="dxa"/>
            <w:vAlign w:val="bottom"/>
            <w:gridSpan w:val="3"/>
          </w:tcPr>
          <w:p>
            <w:pPr>
              <w:jc w:val="center"/>
              <w:ind w:right="140"/>
              <w:spacing w:after="0"/>
              <w:rPr>
                <w:sz w:val="20"/>
                <w:szCs w:val="20"/>
                <w:color w:val="auto"/>
              </w:rPr>
            </w:pPr>
            <w:r>
              <w:rPr>
                <w:rFonts w:ascii="Arial" w:cs="Arial" w:eastAsia="Arial" w:hAnsi="Arial"/>
                <w:sz w:val="17"/>
                <w:szCs w:val="17"/>
                <w:b w:val="1"/>
                <w:bCs w:val="1"/>
                <w:color w:val="auto"/>
                <w:w w:val="88"/>
              </w:rPr>
              <w:t>December 31,</w:t>
            </w:r>
          </w:p>
        </w:tc>
        <w:tc>
          <w:tcPr>
            <w:tcW w:w="0" w:type="dxa"/>
            <w:vAlign w:val="bottom"/>
          </w:tcPr>
          <w:p>
            <w:pPr>
              <w:spacing w:after="0"/>
              <w:rPr>
                <w:sz w:val="1"/>
                <w:szCs w:val="1"/>
                <w:color w:val="auto"/>
              </w:rPr>
            </w:pPr>
          </w:p>
        </w:tc>
      </w:tr>
      <w:tr>
        <w:trPr>
          <w:trHeight w:val="228"/>
        </w:trPr>
        <w:tc>
          <w:tcPr>
            <w:tcW w:w="44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Categor</w:t>
            </w:r>
            <w:r>
              <w:rPr>
                <w:rFonts w:ascii="Arial" w:cs="Arial" w:eastAsia="Arial" w:hAnsi="Arial"/>
                <w:sz w:val="17"/>
                <w:szCs w:val="17"/>
                <w:color w:val="auto"/>
              </w:rPr>
              <w:t>y</w:t>
            </w:r>
          </w:p>
        </w:tc>
        <w:tc>
          <w:tcPr>
            <w:tcW w:w="15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37"/>
              <w:spacing w:after="0"/>
              <w:rPr>
                <w:sz w:val="20"/>
                <w:szCs w:val="20"/>
                <w:color w:val="auto"/>
              </w:rPr>
            </w:pPr>
            <w:r>
              <w:rPr>
                <w:rFonts w:ascii="Arial" w:cs="Arial" w:eastAsia="Arial" w:hAnsi="Arial"/>
                <w:sz w:val="17"/>
                <w:szCs w:val="17"/>
                <w:b w:val="1"/>
                <w:bCs w:val="1"/>
                <w:color w:val="auto"/>
                <w:w w:val="89"/>
              </w:rPr>
              <w:t>2020</w:t>
            </w:r>
          </w:p>
        </w:tc>
        <w:tc>
          <w:tcPr>
            <w:tcW w:w="26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440" w:type="dxa"/>
            <w:vAlign w:val="bottom"/>
          </w:tcPr>
          <w:p>
            <w:pPr>
              <w:ind w:left="40"/>
              <w:spacing w:after="0"/>
              <w:rPr>
                <w:sz w:val="20"/>
                <w:szCs w:val="20"/>
                <w:color w:val="auto"/>
              </w:rPr>
            </w:pPr>
            <w:r>
              <w:rPr>
                <w:rFonts w:ascii="Arial" w:cs="Arial" w:eastAsia="Arial" w:hAnsi="Arial"/>
                <w:sz w:val="17"/>
                <w:szCs w:val="17"/>
                <w:color w:val="auto"/>
              </w:rPr>
              <w:t>U.S. Treasury securities and</w:t>
            </w:r>
          </w:p>
        </w:tc>
        <w:tc>
          <w:tcPr>
            <w:tcW w:w="1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440" w:type="dxa"/>
            <w:vAlign w:val="bottom"/>
          </w:tcPr>
          <w:p>
            <w:pPr>
              <w:ind w:left="40"/>
              <w:spacing w:after="0"/>
              <w:rPr>
                <w:sz w:val="20"/>
                <w:szCs w:val="20"/>
                <w:color w:val="auto"/>
              </w:rPr>
            </w:pPr>
            <w:r>
              <w:rPr>
                <w:rFonts w:ascii="Arial" w:cs="Arial" w:eastAsia="Arial" w:hAnsi="Arial"/>
                <w:sz w:val="17"/>
                <w:szCs w:val="17"/>
                <w:color w:val="auto"/>
              </w:rPr>
              <w:t>obligations of U.S. government</w:t>
            </w:r>
          </w:p>
        </w:tc>
        <w:tc>
          <w:tcPr>
            <w:tcW w:w="1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44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corporations and agencies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2.42%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Political subdivisions of States,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tcPr>
          <w:p>
            <w:pPr>
              <w:ind w:left="40"/>
              <w:spacing w:after="0"/>
              <w:rPr>
                <w:sz w:val="20"/>
                <w:szCs w:val="20"/>
                <w:color w:val="auto"/>
              </w:rPr>
            </w:pPr>
            <w:r>
              <w:rPr>
                <w:rFonts w:ascii="Arial" w:cs="Arial" w:eastAsia="Arial" w:hAnsi="Arial"/>
                <w:sz w:val="17"/>
                <w:szCs w:val="17"/>
                <w:color w:val="auto"/>
              </w:rPr>
              <w:t>Territories and Possessions</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auto"/>
              </w:rPr>
              <w:t>3.23%</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3.26%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tcPr>
          <w:p>
            <w:pPr>
              <w:ind w:left="40"/>
              <w:spacing w:after="0"/>
              <w:rPr>
                <w:sz w:val="20"/>
                <w:szCs w:val="20"/>
                <w:color w:val="auto"/>
              </w:rPr>
            </w:pPr>
            <w:r>
              <w:rPr>
                <w:rFonts w:ascii="Arial" w:cs="Arial" w:eastAsia="Arial" w:hAnsi="Arial"/>
                <w:sz w:val="17"/>
                <w:szCs w:val="17"/>
                <w:color w:val="auto"/>
              </w:rPr>
              <w:t>Corporate and other bonds</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shd w:val="clear" w:color="auto" w:fill="CCEEFF"/>
          </w:tcPr>
          <w:p>
            <w:pPr>
              <w:ind w:left="40"/>
              <w:spacing w:after="0"/>
              <w:rPr>
                <w:sz w:val="20"/>
                <w:szCs w:val="20"/>
                <w:color w:val="auto"/>
              </w:rPr>
            </w:pPr>
            <w:r>
              <w:rPr>
                <w:rFonts w:ascii="Arial" w:cs="Arial" w:eastAsia="Arial" w:hAnsi="Arial"/>
                <w:sz w:val="17"/>
                <w:szCs w:val="17"/>
                <w:color w:val="auto"/>
              </w:rPr>
              <w:t>Industrial and miscellaneous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3.87%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shd w:val="clear" w:color="auto" w:fill="CCEEFF"/>
          </w:tcPr>
          <w:p>
            <w:pPr>
              <w:ind w:left="40"/>
              <w:spacing w:after="0"/>
              <w:rPr>
                <w:sz w:val="20"/>
                <w:szCs w:val="20"/>
                <w:color w:val="auto"/>
              </w:rPr>
            </w:pPr>
            <w:r>
              <w:rPr>
                <w:rFonts w:ascii="Arial" w:cs="Arial" w:eastAsia="Arial" w:hAnsi="Arial"/>
                <w:sz w:val="17"/>
                <w:szCs w:val="17"/>
                <w:color w:val="auto"/>
              </w:rPr>
              <w:t>Residential mortgage backed securities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1.97%</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4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3.48%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52"/>
        </w:trPr>
        <w:tc>
          <w:tcPr>
            <w:tcW w:w="44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52</w:t>
            </w: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549" w:right="319" w:bottom="1440" w:gutter="0" w:footer="0" w:header="0"/>
        </w:sectPr>
      </w:pPr>
    </w:p>
    <w:bookmarkStart w:id="55" w:name="page56"/>
    <w:bookmarkEnd w:id="55"/>
    <w:p>
      <w:pPr>
        <w:ind w:left="640"/>
        <w:spacing w:after="0"/>
        <w:rPr>
          <w:sz w:val="20"/>
          <w:szCs w:val="20"/>
          <w:color w:val="auto"/>
        </w:rPr>
      </w:pPr>
      <w:r>
        <w:rPr>
          <w:rFonts w:ascii="Arial" w:cs="Arial" w:eastAsia="Arial" w:hAnsi="Arial"/>
          <w:sz w:val="15"/>
          <w:szCs w:val="15"/>
          <w:color w:val="auto"/>
        </w:rPr>
        <w:t>The table below lists the weighted average maturity and effective duration in years on our fixed-maturity securities as of March 31, 2020 and December 31,</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2019:</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860" w:type="dxa"/>
            <w:vAlign w:val="bottom"/>
          </w:tcPr>
          <w:p>
            <w:pPr>
              <w:jc w:val="center"/>
              <w:ind w:left="168"/>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6"/>
        </w:trPr>
        <w:tc>
          <w:tcPr>
            <w:tcW w:w="8680" w:type="dxa"/>
            <w:vAlign w:val="bottom"/>
          </w:tcPr>
          <w:p>
            <w:pPr>
              <w:spacing w:after="0"/>
              <w:rPr>
                <w:sz w:val="15"/>
                <w:szCs w:val="15"/>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r>
      <w:tr>
        <w:trPr>
          <w:trHeight w:val="209"/>
        </w:trPr>
        <w:tc>
          <w:tcPr>
            <w:tcW w:w="95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Weighted average effective maturity</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4.9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20" w:type="dxa"/>
            <w:vAlign w:val="bottom"/>
            <w:shd w:val="clear" w:color="auto" w:fill="CCEEFF"/>
          </w:tcPr>
          <w:p>
            <w:pPr>
              <w:spacing w:after="0"/>
              <w:rPr>
                <w:sz w:val="18"/>
                <w:szCs w:val="18"/>
                <w:color w:val="auto"/>
              </w:rPr>
            </w:pPr>
          </w:p>
        </w:tc>
      </w:tr>
      <w:tr>
        <w:trPr>
          <w:trHeight w:val="209"/>
        </w:trPr>
        <w:tc>
          <w:tcPr>
            <w:tcW w:w="8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95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Weighted average final maturity</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6.2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20" w:type="dxa"/>
            <w:vAlign w:val="bottom"/>
            <w:shd w:val="clear" w:color="auto" w:fill="CCEEFF"/>
          </w:tcPr>
          <w:p>
            <w:pPr>
              <w:spacing w:after="0"/>
              <w:rPr>
                <w:sz w:val="18"/>
                <w:szCs w:val="18"/>
                <w:color w:val="auto"/>
              </w:rPr>
            </w:pPr>
          </w:p>
        </w:tc>
      </w:tr>
      <w:tr>
        <w:trPr>
          <w:trHeight w:val="209"/>
        </w:trPr>
        <w:tc>
          <w:tcPr>
            <w:tcW w:w="8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95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Effective duration</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4.2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120" w:type="dxa"/>
            <w:vAlign w:val="bottom"/>
            <w:shd w:val="clear" w:color="auto" w:fill="CCEEFF"/>
          </w:tcPr>
          <w:p>
            <w:pPr>
              <w:spacing w:after="0"/>
              <w:rPr>
                <w:sz w:val="18"/>
                <w:szCs w:val="18"/>
                <w:color w:val="auto"/>
              </w:rPr>
            </w:pPr>
          </w:p>
        </w:tc>
      </w:tr>
    </w:tbl>
    <w:p>
      <w:pPr>
        <w:spacing w:after="0" w:line="227"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Fair Value Consideration</w:t>
      </w:r>
    </w:p>
    <w:p>
      <w:pPr>
        <w:spacing w:after="0" w:line="157" w:lineRule="exact"/>
        <w:rPr>
          <w:sz w:val="20"/>
          <w:szCs w:val="20"/>
          <w:color w:val="auto"/>
        </w:rPr>
      </w:pPr>
    </w:p>
    <w:p>
      <w:pPr>
        <w:jc w:val="both"/>
        <w:ind w:firstLine="627"/>
        <w:spacing w:after="0" w:line="260" w:lineRule="auto"/>
        <w:rPr>
          <w:sz w:val="20"/>
          <w:szCs w:val="20"/>
          <w:color w:val="auto"/>
        </w:rPr>
      </w:pPr>
      <w:r>
        <w:rPr>
          <w:rFonts w:ascii="Arial" w:cs="Arial" w:eastAsia="Arial" w:hAnsi="Arial"/>
          <w:sz w:val="17"/>
          <w:szCs w:val="17"/>
          <w:color w:val="auto"/>
        </w:rPr>
        <w:t>Fair value is the price that would be received to sell an asset or paid to transfer a liability in a transaction involving identical or comparable assets or liabilities between market participants (an “exit price”). The fair value hierarchy distinguishes between inputs based on market data from independent sources (“observable inputs”) and a reporting entity’s internal assumptions based upon the best information available when external market data is limited or unavailable (“unobservable inputs”). The fair value hierarchy prioritizes fair value measurements into three levels based on the nature of the inputs. Quoted prices in active markets for identical assets have the highest priority (“Level 1”), followed by observable inputs other than quoted prices including prices for similar but not identical assets or liabilities (“Level 2”), and unobservable inputs, including the reporting entity’s estimates of the assumption that market participants would use, having the lowest priority (“Level 3”). As of March 31, 2020 and December 31, 2019, 79% and 80%, respectively, of the investment portfolio recorded at fair value was priced based upon quoted market prices.</w:t>
      </w:r>
    </w:p>
    <w:p>
      <w:pPr>
        <w:spacing w:after="0" w:line="122" w:lineRule="exact"/>
        <w:rPr>
          <w:sz w:val="20"/>
          <w:szCs w:val="20"/>
          <w:color w:val="auto"/>
        </w:rPr>
      </w:pPr>
    </w:p>
    <w:p>
      <w:pPr>
        <w:ind w:right="520" w:firstLine="627"/>
        <w:spacing w:after="0" w:line="281" w:lineRule="auto"/>
        <w:rPr>
          <w:sz w:val="20"/>
          <w:szCs w:val="20"/>
          <w:color w:val="auto"/>
        </w:rPr>
      </w:pPr>
      <w:r>
        <w:rPr>
          <w:rFonts w:ascii="Arial" w:cs="Arial" w:eastAsia="Arial" w:hAnsi="Arial"/>
          <w:sz w:val="17"/>
          <w:szCs w:val="17"/>
          <w:color w:val="auto"/>
        </w:rPr>
        <w:t>The table below summarizes the gross unrealized losses of our fixed-maturity securities available-for-sale and equity securities by length of time the security has continuously been in an unrealized loss position as of March 31, 2020 and December 31, 2019:</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76"/>
        </w:trPr>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tcPr>
          <w:p>
            <w:pPr>
              <w:jc w:val="right"/>
              <w:ind w:right="720"/>
              <w:spacing w:after="0"/>
              <w:rPr>
                <w:sz w:val="20"/>
                <w:szCs w:val="20"/>
                <w:color w:val="auto"/>
              </w:rPr>
            </w:pPr>
            <w:r>
              <w:rPr>
                <w:rFonts w:ascii="Arial" w:cs="Arial" w:eastAsia="Arial" w:hAnsi="Arial"/>
                <w:sz w:val="14"/>
                <w:szCs w:val="14"/>
                <w:b w:val="1"/>
                <w:bCs w:val="1"/>
                <w:color w:val="auto"/>
              </w:rPr>
              <w:t>March 31, 2020</w:t>
            </w: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89"/>
        </w:trPr>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6"/>
          </w:tcPr>
          <w:p>
            <w:pPr>
              <w:jc w:val="right"/>
              <w:ind w:right="120"/>
              <w:spacing w:after="0" w:line="137" w:lineRule="exact"/>
              <w:rPr>
                <w:sz w:val="20"/>
                <w:szCs w:val="20"/>
                <w:color w:val="auto"/>
              </w:rPr>
            </w:pPr>
            <w:r>
              <w:rPr>
                <w:rFonts w:ascii="Arial" w:cs="Arial" w:eastAsia="Arial" w:hAnsi="Arial"/>
                <w:sz w:val="14"/>
                <w:szCs w:val="14"/>
                <w:b w:val="1"/>
                <w:bCs w:val="1"/>
                <w:color w:val="auto"/>
              </w:rPr>
              <w:t>Less than 12 months</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right"/>
              <w:ind w:right="160"/>
              <w:spacing w:after="0" w:line="137" w:lineRule="exact"/>
              <w:rPr>
                <w:sz w:val="20"/>
                <w:szCs w:val="20"/>
                <w:color w:val="auto"/>
              </w:rPr>
            </w:pPr>
            <w:r>
              <w:rPr>
                <w:rFonts w:ascii="Arial" w:cs="Arial" w:eastAsia="Arial" w:hAnsi="Arial"/>
                <w:sz w:val="14"/>
                <w:szCs w:val="14"/>
                <w:b w:val="1"/>
                <w:bCs w:val="1"/>
                <w:color w:val="auto"/>
                <w:w w:val="92"/>
              </w:rPr>
              <w:t>12 months or more</w:t>
            </w:r>
          </w:p>
        </w:tc>
        <w:tc>
          <w:tcPr>
            <w:tcW w:w="9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40"/>
              <w:spacing w:after="0" w:line="137"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43"/>
        </w:trPr>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92"/>
              </w:rPr>
              <w:t>Estimated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No. of</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Estimated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5"/>
              </w:rPr>
              <w:t>No. of</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w w:val="92"/>
              </w:rPr>
              <w:t>Estimated</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7"/>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95"/>
              </w:rPr>
              <w:t>Unrealized</w:t>
            </w:r>
          </w:p>
        </w:tc>
        <w:tc>
          <w:tcPr>
            <w:tcW w:w="9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8"/>
              </w:rPr>
              <w:t>Positions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3"/>
              </w:rPr>
              <w:t>Unrealized</w:t>
            </w:r>
          </w:p>
        </w:tc>
        <w:tc>
          <w:tcPr>
            <w:tcW w:w="9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5"/>
              </w:rPr>
              <w:t>Positions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90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5"/>
              </w:rPr>
              <w:t>Unrealized</w:t>
            </w:r>
          </w:p>
        </w:tc>
      </w:tr>
      <w:tr>
        <w:trPr>
          <w:trHeight w:val="176"/>
        </w:trPr>
        <w:tc>
          <w:tcPr>
            <w:tcW w:w="2260" w:type="dxa"/>
            <w:vAlign w:val="bottom"/>
          </w:tcPr>
          <w:p>
            <w:pPr>
              <w:ind w:left="40"/>
              <w:spacing w:after="0"/>
              <w:rPr>
                <w:sz w:val="20"/>
                <w:szCs w:val="20"/>
                <w:color w:val="auto"/>
              </w:rPr>
            </w:pPr>
            <w:r>
              <w:rPr>
                <w:rFonts w:ascii="Arial" w:cs="Arial" w:eastAsia="Arial" w:hAnsi="Arial"/>
                <w:sz w:val="14"/>
                <w:szCs w:val="14"/>
                <w:b w:val="1"/>
                <w:bCs w:val="1"/>
                <w:color w:val="auto"/>
              </w:rPr>
              <w:t>Categor</w:t>
            </w:r>
            <w:r>
              <w:rPr>
                <w:rFonts w:ascii="Arial" w:cs="Arial" w:eastAsia="Arial" w:hAnsi="Arial"/>
                <w:sz w:val="14"/>
                <w:szCs w:val="14"/>
                <w:color w:val="auto"/>
              </w:rPr>
              <w:t>y</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Held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1"/>
              <w:spacing w:after="0"/>
              <w:rPr>
                <w:sz w:val="20"/>
                <w:szCs w:val="20"/>
                <w:color w:val="auto"/>
              </w:rPr>
            </w:pPr>
            <w:r>
              <w:rPr>
                <w:rFonts w:ascii="Arial" w:cs="Arial" w:eastAsia="Arial" w:hAnsi="Arial"/>
                <w:sz w:val="14"/>
                <w:szCs w:val="14"/>
                <w:b w:val="1"/>
                <w:bCs w:val="1"/>
                <w:color w:val="auto"/>
                <w:w w:val="96"/>
              </w:rPr>
              <w:t>Value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8"/>
              </w:rPr>
              <w:t>Held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Losses</w:t>
            </w:r>
          </w:p>
        </w:tc>
      </w:tr>
      <w:tr>
        <w:trPr>
          <w:trHeight w:val="468"/>
        </w:trPr>
        <w:tc>
          <w:tcPr>
            <w:tcW w:w="226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Fixed-Maturity Securities:</w:t>
            </w: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35"/>
        </w:trPr>
        <w:tc>
          <w:tcPr>
            <w:tcW w:w="2260" w:type="dxa"/>
            <w:vAlign w:val="bottom"/>
          </w:tcPr>
          <w:p>
            <w:pPr>
              <w:ind w:left="40"/>
              <w:spacing w:after="0"/>
              <w:rPr>
                <w:sz w:val="20"/>
                <w:szCs w:val="20"/>
                <w:color w:val="auto"/>
              </w:rPr>
            </w:pPr>
            <w:r>
              <w:rPr>
                <w:rFonts w:ascii="Arial" w:cs="Arial" w:eastAsia="Arial" w:hAnsi="Arial"/>
                <w:sz w:val="17"/>
                <w:szCs w:val="17"/>
                <w:color w:val="auto"/>
              </w:rPr>
              <w:t>U.S. Treasury securities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5"/>
        </w:trPr>
        <w:tc>
          <w:tcPr>
            <w:tcW w:w="2260" w:type="dxa"/>
            <w:vAlign w:val="bottom"/>
          </w:tcPr>
          <w:p>
            <w:pPr>
              <w:ind w:left="40"/>
              <w:spacing w:after="0"/>
              <w:rPr>
                <w:sz w:val="20"/>
                <w:szCs w:val="20"/>
                <w:color w:val="auto"/>
              </w:rPr>
            </w:pPr>
            <w:r>
              <w:rPr>
                <w:rFonts w:ascii="Arial" w:cs="Arial" w:eastAsia="Arial" w:hAnsi="Arial"/>
                <w:sz w:val="17"/>
                <w:szCs w:val="17"/>
                <w:color w:val="auto"/>
              </w:rPr>
              <w:t>and obligations of U.S.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6"/>
        </w:trPr>
        <w:tc>
          <w:tcPr>
            <w:tcW w:w="2260" w:type="dxa"/>
            <w:vAlign w:val="bottom"/>
          </w:tcPr>
          <w:p>
            <w:pPr>
              <w:ind w:left="40"/>
              <w:spacing w:after="0"/>
              <w:rPr>
                <w:sz w:val="20"/>
                <w:szCs w:val="20"/>
                <w:color w:val="auto"/>
              </w:rPr>
            </w:pPr>
            <w:r>
              <w:rPr>
                <w:rFonts w:ascii="Arial" w:cs="Arial" w:eastAsia="Arial" w:hAnsi="Arial"/>
                <w:sz w:val="17"/>
                <w:szCs w:val="17"/>
                <w:color w:val="auto"/>
              </w:rPr>
              <w:t>government corporations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260" w:type="dxa"/>
            <w:vAlign w:val="bottom"/>
            <w:shd w:val="clear" w:color="auto" w:fill="CCEEFF"/>
          </w:tcPr>
          <w:p>
            <w:pPr>
              <w:ind w:left="40"/>
              <w:spacing w:after="0"/>
              <w:rPr>
                <w:sz w:val="20"/>
                <w:szCs w:val="20"/>
                <w:color w:val="auto"/>
              </w:rPr>
            </w:pPr>
            <w:r>
              <w:rPr>
                <w:rFonts w:ascii="Arial" w:cs="Arial" w:eastAsia="Arial" w:hAnsi="Arial"/>
                <w:sz w:val="17"/>
                <w:szCs w:val="17"/>
                <w:color w:val="auto"/>
              </w:rPr>
              <w:t>and agencies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r>
      <w:tr>
        <w:trPr>
          <w:trHeight w:val="209"/>
        </w:trPr>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226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Political subdivisions of</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2260" w:type="dxa"/>
            <w:vAlign w:val="bottom"/>
          </w:tcPr>
          <w:p>
            <w:pPr>
              <w:ind w:left="40"/>
              <w:spacing w:after="0"/>
              <w:rPr>
                <w:sz w:val="20"/>
                <w:szCs w:val="20"/>
                <w:color w:val="auto"/>
              </w:rPr>
            </w:pPr>
            <w:r>
              <w:rPr>
                <w:rFonts w:ascii="Arial" w:cs="Arial" w:eastAsia="Arial" w:hAnsi="Arial"/>
                <w:sz w:val="17"/>
                <w:szCs w:val="17"/>
                <w:color w:val="auto"/>
              </w:rPr>
              <w:t>States, Territories and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226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Possessions</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r>
      <w:tr>
        <w:trPr>
          <w:trHeight w:val="209"/>
        </w:trPr>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226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Corporate and other</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2260" w:type="dxa"/>
            <w:vAlign w:val="bottom"/>
          </w:tcPr>
          <w:p>
            <w:pPr>
              <w:ind w:left="40"/>
              <w:spacing w:after="0"/>
              <w:rPr>
                <w:sz w:val="20"/>
                <w:szCs w:val="20"/>
                <w:color w:val="auto"/>
              </w:rPr>
            </w:pPr>
            <w:r>
              <w:rPr>
                <w:rFonts w:ascii="Arial" w:cs="Arial" w:eastAsia="Arial" w:hAnsi="Arial"/>
                <w:sz w:val="17"/>
                <w:szCs w:val="17"/>
                <w:color w:val="auto"/>
              </w:rPr>
              <w:t>bonds industrial and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2260" w:type="dxa"/>
            <w:vAlign w:val="bottom"/>
            <w:shd w:val="clear" w:color="auto" w:fill="CCEEFF"/>
          </w:tcPr>
          <w:p>
            <w:pPr>
              <w:ind w:left="40"/>
              <w:spacing w:after="0"/>
              <w:rPr>
                <w:sz w:val="20"/>
                <w:szCs w:val="20"/>
                <w:color w:val="auto"/>
              </w:rPr>
            </w:pPr>
            <w:r>
              <w:rPr>
                <w:rFonts w:ascii="Arial" w:cs="Arial" w:eastAsia="Arial" w:hAnsi="Arial"/>
                <w:sz w:val="17"/>
                <w:szCs w:val="17"/>
                <w:color w:val="auto"/>
              </w:rPr>
              <w:t>miscellaneous</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9"/>
              </w:rPr>
              <w:t>35,409,999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4"/>
              </w:rPr>
              <w:t>(2,258,459)</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9"/>
              </w:rPr>
              <w:t>35,409,999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4"/>
              </w:rPr>
              <w:t>(2,258,459)</w:t>
            </w:r>
          </w:p>
        </w:tc>
      </w:tr>
      <w:tr>
        <w:trPr>
          <w:trHeight w:val="209"/>
        </w:trPr>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2260" w:type="dxa"/>
            <w:vAlign w:val="bottom"/>
            <w:shd w:val="clear" w:color="auto" w:fill="CCEEFF"/>
          </w:tcPr>
          <w:p>
            <w:pPr>
              <w:ind w:left="40"/>
              <w:spacing w:after="0"/>
              <w:rPr>
                <w:sz w:val="20"/>
                <w:szCs w:val="20"/>
                <w:color w:val="auto"/>
              </w:rPr>
            </w:pPr>
            <w:r>
              <w:rPr>
                <w:rFonts w:ascii="Arial" w:cs="Arial" w:eastAsia="Arial" w:hAnsi="Arial"/>
                <w:sz w:val="17"/>
                <w:szCs w:val="17"/>
                <w:color w:val="auto"/>
                <w:w w:val="92"/>
              </w:rPr>
              <w:t>Residential mortgage and other</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2260" w:type="dxa"/>
            <w:vAlign w:val="bottom"/>
          </w:tcPr>
          <w:p>
            <w:pPr>
              <w:ind w:left="40"/>
              <w:spacing w:after="0"/>
              <w:rPr>
                <w:sz w:val="20"/>
                <w:szCs w:val="20"/>
                <w:color w:val="auto"/>
              </w:rPr>
            </w:pPr>
            <w:r>
              <w:rPr>
                <w:rFonts w:ascii="Arial" w:cs="Arial" w:eastAsia="Arial" w:hAnsi="Arial"/>
                <w:sz w:val="17"/>
                <w:szCs w:val="17"/>
                <w:color w:val="auto"/>
              </w:rPr>
              <w:t>asset backed securities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6,067,674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(938,478)</w:t>
            </w:r>
          </w:p>
        </w:tc>
        <w:tc>
          <w:tcPr>
            <w:tcW w:w="900" w:type="dxa"/>
            <w:vAlign w:val="bottom"/>
          </w:tcPr>
          <w:p>
            <w:pPr>
              <w:jc w:val="right"/>
              <w:spacing w:after="0"/>
              <w:rPr>
                <w:sz w:val="20"/>
                <w:szCs w:val="20"/>
                <w:color w:val="auto"/>
              </w:rPr>
            </w:pPr>
            <w:r>
              <w:rPr>
                <w:rFonts w:ascii="Arial" w:cs="Arial" w:eastAsia="Arial" w:hAnsi="Arial"/>
                <w:sz w:val="17"/>
                <w:szCs w:val="17"/>
                <w:color w:val="auto"/>
              </w:rPr>
              <w:t>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w w:val="91"/>
              </w:rPr>
              <w:t>10,286,307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w w:val="96"/>
              </w:rPr>
              <w:t>(1,145,973)</w:t>
            </w:r>
          </w:p>
        </w:tc>
        <w:tc>
          <w:tcPr>
            <w:tcW w:w="920" w:type="dxa"/>
            <w:vAlign w:val="bottom"/>
          </w:tcPr>
          <w:p>
            <w:pPr>
              <w:jc w:val="right"/>
              <w:spacing w:after="0"/>
              <w:rPr>
                <w:sz w:val="20"/>
                <w:szCs w:val="20"/>
                <w:color w:val="auto"/>
              </w:rPr>
            </w:pPr>
            <w:r>
              <w:rPr>
                <w:rFonts w:ascii="Arial" w:cs="Arial" w:eastAsia="Arial" w:hAnsi="Arial"/>
                <w:sz w:val="17"/>
                <w:szCs w:val="17"/>
                <w:color w:val="auto"/>
              </w:rPr>
              <w:t>17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w w:val="89"/>
              </w:rPr>
              <w:t>16,353,981</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w w:val="94"/>
              </w:rPr>
              <w:t>(2,084,451)</w:t>
            </w:r>
          </w:p>
        </w:tc>
      </w:tr>
      <w:tr>
        <w:trPr>
          <w:trHeight w:val="209"/>
        </w:trPr>
        <w:tc>
          <w:tcPr>
            <w:tcW w:w="22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2260" w:type="dxa"/>
            <w:vAlign w:val="bottom"/>
          </w:tcPr>
          <w:p>
            <w:pPr>
              <w:ind w:left="40"/>
              <w:spacing w:after="0"/>
              <w:rPr>
                <w:sz w:val="20"/>
                <w:szCs w:val="20"/>
                <w:color w:val="auto"/>
              </w:rPr>
            </w:pPr>
            <w:r>
              <w:rPr>
                <w:rFonts w:ascii="Arial" w:cs="Arial" w:eastAsia="Arial" w:hAnsi="Arial"/>
                <w:sz w:val="17"/>
                <w:szCs w:val="17"/>
                <w:color w:val="auto"/>
              </w:rPr>
              <w:t>Total fixed-maturity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2260" w:type="dxa"/>
            <w:vAlign w:val="bottom"/>
            <w:shd w:val="clear" w:color="auto" w:fill="CCEEFF"/>
          </w:tcPr>
          <w:p>
            <w:pPr>
              <w:ind w:left="40"/>
              <w:spacing w:after="0"/>
              <w:rPr>
                <w:sz w:val="20"/>
                <w:szCs w:val="20"/>
                <w:color w:val="auto"/>
              </w:rPr>
            </w:pPr>
            <w:r>
              <w:rPr>
                <w:rFonts w:ascii="Arial" w:cs="Arial" w:eastAsia="Arial" w:hAnsi="Arial"/>
                <w:sz w:val="17"/>
                <w:szCs w:val="17"/>
                <w:color w:val="auto"/>
              </w:rPr>
              <w:t>securities</w:t>
            </w:r>
          </w:p>
        </w:tc>
        <w:tc>
          <w:tcPr>
            <w:tcW w:w="10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9"/>
              </w:rPr>
              <w:t>41,477,673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94"/>
              </w:rPr>
              <w:t>(3,196,937)</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10,286,307</w:t>
            </w:r>
          </w:p>
        </w:tc>
        <w:tc>
          <w:tcPr>
            <w:tcW w:w="134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 (1,145,973)</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9"/>
              </w:rPr>
              <w:t>51,763,980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4"/>
              </w:rPr>
              <w:t>(4,342,910)</w:t>
            </w:r>
          </w:p>
        </w:tc>
      </w:tr>
      <w:tr>
        <w:trPr>
          <w:trHeight w:val="20"/>
        </w:trPr>
        <w:tc>
          <w:tcPr>
            <w:tcW w:w="2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364"/>
        </w:trPr>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4"/>
                <w:szCs w:val="14"/>
                <w:b w:val="1"/>
                <w:bCs w:val="1"/>
                <w:color w:val="auto"/>
              </w:rPr>
              <w:t>December 31, 2019</w:t>
            </w: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89"/>
        </w:trPr>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6"/>
          </w:tcPr>
          <w:p>
            <w:pPr>
              <w:jc w:val="right"/>
              <w:ind w:right="120"/>
              <w:spacing w:after="0" w:line="137" w:lineRule="exact"/>
              <w:rPr>
                <w:sz w:val="20"/>
                <w:szCs w:val="20"/>
                <w:color w:val="auto"/>
              </w:rPr>
            </w:pPr>
            <w:r>
              <w:rPr>
                <w:rFonts w:ascii="Arial" w:cs="Arial" w:eastAsia="Arial" w:hAnsi="Arial"/>
                <w:sz w:val="14"/>
                <w:szCs w:val="14"/>
                <w:b w:val="1"/>
                <w:bCs w:val="1"/>
                <w:color w:val="auto"/>
              </w:rPr>
              <w:t>Less than 12 months</w:t>
            </w:r>
          </w:p>
        </w:tc>
        <w:tc>
          <w:tcPr>
            <w:tcW w:w="9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right"/>
              <w:ind w:right="160"/>
              <w:spacing w:after="0" w:line="137" w:lineRule="exact"/>
              <w:rPr>
                <w:sz w:val="20"/>
                <w:szCs w:val="20"/>
                <w:color w:val="auto"/>
              </w:rPr>
            </w:pPr>
            <w:r>
              <w:rPr>
                <w:rFonts w:ascii="Arial" w:cs="Arial" w:eastAsia="Arial" w:hAnsi="Arial"/>
                <w:sz w:val="14"/>
                <w:szCs w:val="14"/>
                <w:b w:val="1"/>
                <w:bCs w:val="1"/>
                <w:color w:val="auto"/>
                <w:w w:val="92"/>
              </w:rPr>
              <w:t>12 months or more</w:t>
            </w:r>
          </w:p>
        </w:tc>
        <w:tc>
          <w:tcPr>
            <w:tcW w:w="9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40"/>
              <w:spacing w:after="0" w:line="137"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43"/>
        </w:trPr>
        <w:tc>
          <w:tcPr>
            <w:tcW w:w="2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w w:val="92"/>
              </w:rPr>
              <w:t>Estimated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0"/>
              </w:rPr>
              <w:t>No. of</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Estimated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5"/>
              </w:rPr>
              <w:t>No. of</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line="143" w:lineRule="exact"/>
              <w:rPr>
                <w:sz w:val="20"/>
                <w:szCs w:val="20"/>
                <w:color w:val="auto"/>
              </w:rPr>
            </w:pPr>
            <w:r>
              <w:rPr>
                <w:rFonts w:ascii="Arial" w:cs="Arial" w:eastAsia="Arial" w:hAnsi="Arial"/>
                <w:sz w:val="14"/>
                <w:szCs w:val="14"/>
                <w:b w:val="1"/>
                <w:bCs w:val="1"/>
                <w:color w:val="auto"/>
                <w:w w:val="92"/>
              </w:rPr>
              <w:t>Estimated</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7"/>
        </w:trPr>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00"/>
              <w:spacing w:after="0" w:line="157" w:lineRule="exact"/>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95"/>
              </w:rPr>
              <w:t>Unrealized</w:t>
            </w:r>
          </w:p>
        </w:tc>
        <w:tc>
          <w:tcPr>
            <w:tcW w:w="9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8"/>
              </w:rPr>
              <w:t>Positions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280"/>
              <w:spacing w:after="0" w:line="157" w:lineRule="exact"/>
              <w:rPr>
                <w:sz w:val="20"/>
                <w:szCs w:val="20"/>
                <w:color w:val="auto"/>
              </w:rPr>
            </w:pPr>
            <w:r>
              <w:rPr>
                <w:rFonts w:ascii="Arial" w:cs="Arial" w:eastAsia="Arial" w:hAnsi="Arial"/>
                <w:sz w:val="14"/>
                <w:szCs w:val="14"/>
                <w:b w:val="1"/>
                <w:bCs w:val="1"/>
                <w:color w:val="auto"/>
                <w:w w:val="93"/>
              </w:rPr>
              <w:t>Unrealized</w:t>
            </w:r>
          </w:p>
        </w:tc>
        <w:tc>
          <w:tcPr>
            <w:tcW w:w="92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5"/>
              </w:rPr>
              <w:t>Positions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320"/>
              <w:spacing w:after="0" w:line="157"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90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auto"/>
                <w:w w:val="95"/>
              </w:rPr>
              <w:t>Unrealized</w:t>
            </w:r>
          </w:p>
        </w:tc>
      </w:tr>
      <w:tr>
        <w:trPr>
          <w:trHeight w:val="176"/>
        </w:trPr>
        <w:tc>
          <w:tcPr>
            <w:tcW w:w="2260" w:type="dxa"/>
            <w:vAlign w:val="bottom"/>
          </w:tcPr>
          <w:p>
            <w:pPr>
              <w:ind w:left="40"/>
              <w:spacing w:after="0"/>
              <w:rPr>
                <w:sz w:val="20"/>
                <w:szCs w:val="20"/>
                <w:color w:val="auto"/>
              </w:rPr>
            </w:pPr>
            <w:r>
              <w:rPr>
                <w:rFonts w:ascii="Arial" w:cs="Arial" w:eastAsia="Arial" w:hAnsi="Arial"/>
                <w:sz w:val="14"/>
                <w:szCs w:val="14"/>
                <w:b w:val="1"/>
                <w:bCs w:val="1"/>
                <w:color w:val="auto"/>
              </w:rPr>
              <w:t>Categor</w:t>
            </w:r>
            <w:r>
              <w:rPr>
                <w:rFonts w:ascii="Arial" w:cs="Arial" w:eastAsia="Arial" w:hAnsi="Arial"/>
                <w:sz w:val="14"/>
                <w:szCs w:val="14"/>
                <w:color w:val="auto"/>
              </w:rPr>
              <w:t>y</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Held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1"/>
              <w:spacing w:after="0"/>
              <w:rPr>
                <w:sz w:val="20"/>
                <w:szCs w:val="20"/>
                <w:color w:val="auto"/>
              </w:rPr>
            </w:pPr>
            <w:r>
              <w:rPr>
                <w:rFonts w:ascii="Arial" w:cs="Arial" w:eastAsia="Arial" w:hAnsi="Arial"/>
                <w:sz w:val="14"/>
                <w:szCs w:val="14"/>
                <w:b w:val="1"/>
                <w:bCs w:val="1"/>
                <w:color w:val="auto"/>
                <w:w w:val="96"/>
              </w:rPr>
              <w:t>Value</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8"/>
              </w:rPr>
              <w:t>Held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2"/>
              </w:rPr>
              <w:t>Losses</w:t>
            </w:r>
          </w:p>
        </w:tc>
      </w:tr>
      <w:tr>
        <w:trPr>
          <w:trHeight w:val="468"/>
        </w:trPr>
        <w:tc>
          <w:tcPr>
            <w:tcW w:w="226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Fixed-Maturity Securities:</w:t>
            </w: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35"/>
        </w:trPr>
        <w:tc>
          <w:tcPr>
            <w:tcW w:w="2260" w:type="dxa"/>
            <w:vAlign w:val="bottom"/>
          </w:tcPr>
          <w:p>
            <w:pPr>
              <w:ind w:left="40"/>
              <w:spacing w:after="0"/>
              <w:rPr>
                <w:sz w:val="20"/>
                <w:szCs w:val="20"/>
                <w:color w:val="auto"/>
              </w:rPr>
            </w:pPr>
            <w:r>
              <w:rPr>
                <w:rFonts w:ascii="Arial" w:cs="Arial" w:eastAsia="Arial" w:hAnsi="Arial"/>
                <w:sz w:val="17"/>
                <w:szCs w:val="17"/>
                <w:color w:val="auto"/>
              </w:rPr>
              <w:t>U.S. Treasury securities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5"/>
        </w:trPr>
        <w:tc>
          <w:tcPr>
            <w:tcW w:w="2260" w:type="dxa"/>
            <w:vAlign w:val="bottom"/>
          </w:tcPr>
          <w:p>
            <w:pPr>
              <w:ind w:left="40"/>
              <w:spacing w:after="0"/>
              <w:rPr>
                <w:sz w:val="20"/>
                <w:szCs w:val="20"/>
                <w:color w:val="auto"/>
              </w:rPr>
            </w:pPr>
            <w:r>
              <w:rPr>
                <w:rFonts w:ascii="Arial" w:cs="Arial" w:eastAsia="Arial" w:hAnsi="Arial"/>
                <w:sz w:val="17"/>
                <w:szCs w:val="17"/>
                <w:color w:val="auto"/>
              </w:rPr>
              <w:t>and obligations of U.S.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6"/>
        </w:trPr>
        <w:tc>
          <w:tcPr>
            <w:tcW w:w="2260" w:type="dxa"/>
            <w:vAlign w:val="bottom"/>
          </w:tcPr>
          <w:p>
            <w:pPr>
              <w:ind w:left="40"/>
              <w:spacing w:after="0"/>
              <w:rPr>
                <w:sz w:val="20"/>
                <w:szCs w:val="20"/>
                <w:color w:val="auto"/>
              </w:rPr>
            </w:pPr>
            <w:r>
              <w:rPr>
                <w:rFonts w:ascii="Arial" w:cs="Arial" w:eastAsia="Arial" w:hAnsi="Arial"/>
                <w:sz w:val="17"/>
                <w:szCs w:val="17"/>
                <w:color w:val="auto"/>
              </w:rPr>
              <w:t>government corporations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260" w:type="dxa"/>
            <w:vAlign w:val="bottom"/>
            <w:shd w:val="clear" w:color="auto" w:fill="CCEEFF"/>
          </w:tcPr>
          <w:p>
            <w:pPr>
              <w:ind w:left="40"/>
              <w:spacing w:after="0"/>
              <w:rPr>
                <w:sz w:val="20"/>
                <w:szCs w:val="20"/>
                <w:color w:val="auto"/>
              </w:rPr>
            </w:pPr>
            <w:r>
              <w:rPr>
                <w:rFonts w:ascii="Arial" w:cs="Arial" w:eastAsia="Arial" w:hAnsi="Arial"/>
                <w:sz w:val="17"/>
                <w:szCs w:val="17"/>
                <w:color w:val="auto"/>
              </w:rPr>
              <w:t>and agencies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r>
      <w:tr>
        <w:trPr>
          <w:trHeight w:val="209"/>
        </w:trPr>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226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Political subdivisions of</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2260" w:type="dxa"/>
            <w:vAlign w:val="bottom"/>
          </w:tcPr>
          <w:p>
            <w:pPr>
              <w:ind w:left="40"/>
              <w:spacing w:after="0"/>
              <w:rPr>
                <w:sz w:val="20"/>
                <w:szCs w:val="20"/>
                <w:color w:val="auto"/>
              </w:rPr>
            </w:pPr>
            <w:r>
              <w:rPr>
                <w:rFonts w:ascii="Arial" w:cs="Arial" w:eastAsia="Arial" w:hAnsi="Arial"/>
                <w:sz w:val="17"/>
                <w:szCs w:val="17"/>
                <w:color w:val="auto"/>
              </w:rPr>
              <w:t>States, Territories and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2260" w:type="dxa"/>
            <w:vAlign w:val="bottom"/>
            <w:shd w:val="clear" w:color="auto" w:fill="CCEEFF"/>
          </w:tcPr>
          <w:p>
            <w:pPr>
              <w:ind w:left="40"/>
              <w:spacing w:after="0"/>
              <w:rPr>
                <w:sz w:val="20"/>
                <w:szCs w:val="20"/>
                <w:color w:val="auto"/>
              </w:rPr>
            </w:pPr>
            <w:r>
              <w:rPr>
                <w:rFonts w:ascii="Arial" w:cs="Arial" w:eastAsia="Arial" w:hAnsi="Arial"/>
                <w:sz w:val="17"/>
                <w:szCs w:val="17"/>
                <w:color w:val="auto"/>
              </w:rPr>
              <w:t>Possessions</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3,067,428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(11,316)</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3,067,428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(11,316)</w:t>
            </w:r>
          </w:p>
        </w:tc>
      </w:tr>
      <w:tr>
        <w:trPr>
          <w:trHeight w:val="209"/>
        </w:trPr>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2260" w:type="dxa"/>
            <w:vAlign w:val="bottom"/>
            <w:shd w:val="clear" w:color="auto" w:fill="CCEEFF"/>
          </w:tcPr>
          <w:p>
            <w:pPr>
              <w:ind w:left="40"/>
              <w:spacing w:after="0"/>
              <w:rPr>
                <w:sz w:val="20"/>
                <w:szCs w:val="20"/>
                <w:color w:val="auto"/>
              </w:rPr>
            </w:pPr>
            <w:r>
              <w:rPr>
                <w:rFonts w:ascii="Arial" w:cs="Arial" w:eastAsia="Arial" w:hAnsi="Arial"/>
                <w:sz w:val="17"/>
                <w:szCs w:val="17"/>
                <w:color w:val="auto"/>
              </w:rPr>
              <w:t>Corporate and other</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2260" w:type="dxa"/>
            <w:vAlign w:val="bottom"/>
          </w:tcPr>
          <w:p>
            <w:pPr>
              <w:ind w:left="40"/>
              <w:spacing w:after="0"/>
              <w:rPr>
                <w:sz w:val="20"/>
                <w:szCs w:val="20"/>
                <w:color w:val="auto"/>
              </w:rPr>
            </w:pPr>
            <w:r>
              <w:rPr>
                <w:rFonts w:ascii="Arial" w:cs="Arial" w:eastAsia="Arial" w:hAnsi="Arial"/>
                <w:sz w:val="17"/>
                <w:szCs w:val="17"/>
                <w:color w:val="auto"/>
              </w:rPr>
              <w:t>bonds industrial and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2260" w:type="dxa"/>
            <w:vAlign w:val="bottom"/>
            <w:shd w:val="clear" w:color="auto" w:fill="CCEEFF"/>
          </w:tcPr>
          <w:p>
            <w:pPr>
              <w:ind w:left="40"/>
              <w:spacing w:after="0"/>
              <w:rPr>
                <w:sz w:val="20"/>
                <w:szCs w:val="20"/>
                <w:color w:val="auto"/>
              </w:rPr>
            </w:pPr>
            <w:r>
              <w:rPr>
                <w:rFonts w:ascii="Arial" w:cs="Arial" w:eastAsia="Arial" w:hAnsi="Arial"/>
                <w:sz w:val="17"/>
                <w:szCs w:val="17"/>
                <w:color w:val="auto"/>
              </w:rPr>
              <w:t>miscellaneous</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3,730,478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(16,685)</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1,300,915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(13,473)</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5,031,393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(30,158)</w:t>
            </w:r>
          </w:p>
        </w:tc>
      </w:tr>
      <w:tr>
        <w:trPr>
          <w:trHeight w:val="209"/>
        </w:trPr>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9"/>
        </w:trPr>
        <w:tc>
          <w:tcPr>
            <w:tcW w:w="2260" w:type="dxa"/>
            <w:vAlign w:val="bottom"/>
            <w:shd w:val="clear" w:color="auto" w:fill="CCEEFF"/>
          </w:tcPr>
          <w:p>
            <w:pPr>
              <w:ind w:left="40"/>
              <w:spacing w:after="0"/>
              <w:rPr>
                <w:sz w:val="20"/>
                <w:szCs w:val="20"/>
                <w:color w:val="auto"/>
              </w:rPr>
            </w:pPr>
            <w:r>
              <w:rPr>
                <w:rFonts w:ascii="Arial" w:cs="Arial" w:eastAsia="Arial" w:hAnsi="Arial"/>
                <w:sz w:val="17"/>
                <w:szCs w:val="17"/>
                <w:color w:val="auto"/>
                <w:w w:val="92"/>
              </w:rPr>
              <w:t>Residential mortgage and other</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2260" w:type="dxa"/>
            <w:vAlign w:val="bottom"/>
          </w:tcPr>
          <w:p>
            <w:pPr>
              <w:ind w:left="40"/>
              <w:spacing w:after="0"/>
              <w:rPr>
                <w:sz w:val="20"/>
                <w:szCs w:val="20"/>
                <w:color w:val="auto"/>
              </w:rPr>
            </w:pPr>
            <w:r>
              <w:rPr>
                <w:rFonts w:ascii="Arial" w:cs="Arial" w:eastAsia="Arial" w:hAnsi="Arial"/>
                <w:sz w:val="17"/>
                <w:szCs w:val="17"/>
                <w:color w:val="auto"/>
              </w:rPr>
              <w:t>asset backed securities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5,862,636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7"/>
                <w:szCs w:val="17"/>
                <w:color w:val="auto"/>
              </w:rPr>
              <w:t>(68,793)</w:t>
            </w:r>
          </w:p>
        </w:tc>
        <w:tc>
          <w:tcPr>
            <w:tcW w:w="900" w:type="dxa"/>
            <w:vAlign w:val="bottom"/>
          </w:tcPr>
          <w:p>
            <w:pPr>
              <w:jc w:val="right"/>
              <w:spacing w:after="0"/>
              <w:rPr>
                <w:sz w:val="20"/>
                <w:szCs w:val="20"/>
                <w:color w:val="auto"/>
              </w:rPr>
            </w:pPr>
            <w:r>
              <w:rPr>
                <w:rFonts w:ascii="Arial" w:cs="Arial" w:eastAsia="Arial" w:hAnsi="Arial"/>
                <w:sz w:val="17"/>
                <w:szCs w:val="17"/>
                <w:color w:val="auto"/>
              </w:rPr>
              <w:t>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w w:val="91"/>
              </w:rPr>
              <w:t>13,534,768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7"/>
                <w:szCs w:val="17"/>
                <w:color w:val="auto"/>
              </w:rPr>
              <w:t>(276,451)</w:t>
            </w:r>
          </w:p>
        </w:tc>
        <w:tc>
          <w:tcPr>
            <w:tcW w:w="920" w:type="dxa"/>
            <w:vAlign w:val="bottom"/>
          </w:tcPr>
          <w:p>
            <w:pPr>
              <w:jc w:val="right"/>
              <w:spacing w:after="0"/>
              <w:rPr>
                <w:sz w:val="20"/>
                <w:szCs w:val="20"/>
                <w:color w:val="auto"/>
              </w:rPr>
            </w:pPr>
            <w:r>
              <w:rPr>
                <w:rFonts w:ascii="Arial" w:cs="Arial" w:eastAsia="Arial" w:hAnsi="Arial"/>
                <w:sz w:val="17"/>
                <w:szCs w:val="17"/>
                <w:color w:val="auto"/>
              </w:rPr>
              <w:t>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7"/>
                <w:szCs w:val="17"/>
                <w:color w:val="auto"/>
                <w:w w:val="89"/>
              </w:rPr>
              <w:t>19,397,404</w:t>
            </w: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(345,244)</w:t>
            </w:r>
          </w:p>
        </w:tc>
      </w:tr>
      <w:tr>
        <w:trPr>
          <w:trHeight w:val="209"/>
        </w:trPr>
        <w:tc>
          <w:tcPr>
            <w:tcW w:w="22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9"/>
        </w:trPr>
        <w:tc>
          <w:tcPr>
            <w:tcW w:w="2260" w:type="dxa"/>
            <w:vAlign w:val="bottom"/>
          </w:tcPr>
          <w:p>
            <w:pPr>
              <w:ind w:left="40"/>
              <w:spacing w:after="0"/>
              <w:rPr>
                <w:sz w:val="20"/>
                <w:szCs w:val="20"/>
                <w:color w:val="auto"/>
              </w:rPr>
            </w:pPr>
            <w:r>
              <w:rPr>
                <w:rFonts w:ascii="Arial" w:cs="Arial" w:eastAsia="Arial" w:hAnsi="Arial"/>
                <w:sz w:val="17"/>
                <w:szCs w:val="17"/>
                <w:color w:val="auto"/>
              </w:rPr>
              <w:t>Total fixed-maturity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2260" w:type="dxa"/>
            <w:vAlign w:val="bottom"/>
            <w:shd w:val="clear" w:color="auto" w:fill="CCEEFF"/>
          </w:tcPr>
          <w:p>
            <w:pPr>
              <w:ind w:left="40"/>
              <w:spacing w:after="0"/>
              <w:rPr>
                <w:sz w:val="20"/>
                <w:szCs w:val="20"/>
                <w:color w:val="auto"/>
              </w:rPr>
            </w:pPr>
            <w:r>
              <w:rPr>
                <w:rFonts w:ascii="Arial" w:cs="Arial" w:eastAsia="Arial" w:hAnsi="Arial"/>
                <w:sz w:val="17"/>
                <w:szCs w:val="17"/>
                <w:color w:val="auto"/>
              </w:rPr>
              <w:t>securities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9"/>
              </w:rPr>
              <w:t>12,660,542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(96,794)</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14,835,683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(289,924)</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9"/>
              </w:rPr>
              <w:t>27,496,225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(386,718)</w:t>
            </w:r>
          </w:p>
        </w:tc>
      </w:tr>
      <w:tr>
        <w:trPr>
          <w:trHeight w:val="618"/>
        </w:trPr>
        <w:tc>
          <w:tcPr>
            <w:tcW w:w="22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7"/>
                <w:szCs w:val="17"/>
                <w:color w:val="auto"/>
                <w:w w:val="84"/>
              </w:rPr>
              <w:t>54</w:t>
            </w:r>
          </w:p>
        </w:tc>
        <w:tc>
          <w:tcPr>
            <w:tcW w:w="10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544" w:right="339" w:bottom="1440" w:gutter="0" w:footer="0" w:header="0"/>
        </w:sectPr>
      </w:pPr>
    </w:p>
    <w:bookmarkStart w:id="57" w:name="page58"/>
    <w:bookmarkEnd w:id="57"/>
    <w:p>
      <w:pPr>
        <w:jc w:val="both"/>
        <w:ind w:firstLine="627"/>
        <w:spacing w:after="0" w:line="305" w:lineRule="auto"/>
        <w:rPr>
          <w:sz w:val="20"/>
          <w:szCs w:val="20"/>
          <w:color w:val="auto"/>
        </w:rPr>
      </w:pPr>
      <w:r>
        <w:rPr>
          <w:rFonts w:ascii="Arial" w:cs="Arial" w:eastAsia="Arial" w:hAnsi="Arial"/>
          <w:sz w:val="15"/>
          <w:szCs w:val="15"/>
          <w:color w:val="auto"/>
        </w:rPr>
        <w:t>There were 80 securities at March 31, 2020 that accounted for the gross unrealized loss of our fixed-maturity securities available-for-sale, none of which were deemed by us to be other than temporarily impaired. There were 39 securities at December 31, 2019 that accounted for the gross unrealized loss, none of which were deemed by us to be other than temporarily impaired. Significant factors influencing our determination that unrealized losses were temporary included the magnitude of the unrealized losses in relation to each security’s cost, the nature of the investment and management’s intent not to sell these securities and it being not more likely than not that we will be required to sell these investments before anticipated recovery of fair value to our cost basis.</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Cash Flows</w:t>
      </w:r>
    </w:p>
    <w:p>
      <w:pPr>
        <w:spacing w:after="0" w:line="157" w:lineRule="exact"/>
        <w:rPr>
          <w:sz w:val="20"/>
          <w:szCs w:val="20"/>
          <w:color w:val="auto"/>
        </w:rPr>
      </w:pPr>
    </w:p>
    <w:p>
      <w:pPr>
        <w:jc w:val="both"/>
        <w:ind w:firstLine="627"/>
        <w:spacing w:after="0" w:line="262" w:lineRule="auto"/>
        <w:rPr>
          <w:sz w:val="20"/>
          <w:szCs w:val="20"/>
          <w:color w:val="auto"/>
        </w:rPr>
      </w:pPr>
      <w:r>
        <w:rPr>
          <w:rFonts w:ascii="Arial" w:cs="Arial" w:eastAsia="Arial" w:hAnsi="Arial"/>
          <w:sz w:val="17"/>
          <w:szCs w:val="17"/>
          <w:color w:val="auto"/>
        </w:rPr>
        <w:t>The primary sources of cash flow are from our insurance underwriting subsidiary, KICO, and include direct premiums written, ceding commissions from our quota share reinsurers, loss recovery payments from our reinsurers, investment income and proceeds from the sale or maturity of investments. Funds are used by KICO for ceded premium payments to reinsurers, which are paid on a net basis after subtracting losses paid on reinsured claims and reinsurance commissions. KICO also uses funds for loss payments and loss adjustment expenses on our net business, commissions to producers, salaries and other underwriting expenses as well as to purchase investments and fixed assets.</w:t>
      </w:r>
    </w:p>
    <w:p>
      <w:pPr>
        <w:spacing w:after="0" w:line="122"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color w:val="auto"/>
        </w:rPr>
        <w:t>For the three months ended March 31, 2020, the primary source of cash flow for our holding company was the dividends received from KICO, subject to statutory restrictions. For the three months ended March 31, 2020, KICO paid dividends of $1,500,000 to us.</w:t>
      </w:r>
    </w:p>
    <w:p>
      <w:pPr>
        <w:spacing w:after="0" w:line="104" w:lineRule="exact"/>
        <w:rPr>
          <w:sz w:val="20"/>
          <w:szCs w:val="20"/>
          <w:color w:val="auto"/>
        </w:rPr>
      </w:pPr>
    </w:p>
    <w:p>
      <w:pPr>
        <w:jc w:val="both"/>
        <w:ind w:firstLine="627"/>
        <w:spacing w:after="0" w:line="278" w:lineRule="auto"/>
        <w:rPr>
          <w:sz w:val="20"/>
          <w:szCs w:val="20"/>
          <w:color w:val="auto"/>
        </w:rPr>
      </w:pPr>
      <w:r>
        <w:rPr>
          <w:rFonts w:ascii="Arial" w:cs="Arial" w:eastAsia="Arial" w:hAnsi="Arial"/>
          <w:sz w:val="16"/>
          <w:szCs w:val="16"/>
          <w:color w:val="auto"/>
        </w:rPr>
        <w:t>KICO is a member of the Federal Home Loan Bank of New York (“FHLBNY”), which provides additional access to liquidity. Members have access to a variety of flexible, low cost funding through FHLBNY’s credit products, enabling members to customize advances. Advances are to be fully collateralized; eligible collateral to pledge to FHLBNY includes residential and commercial mortgage backed securities, along with U.S. Treasury and agency securities. See Note 3 to our condensed consolidated financial statements – Investments, for eligible collateral held in a designated custodian account available for future advances. Advances are limited to 5% of KICO’s net admitted assets as of the end of the previous quarter, which is December 31, 2019, and are due and payable within one year of borrowing. The maximum allowable advance as of March 31, 2020, based on the net admitted assets as of December 31, 2019, was approximately $12,379,000. Advances are limited to 90% of the amount of available collateral, which was approximately $6,558,000 as of March 31, 2020. There were no borrowings under this facility during the three months ended March 31, 2020.</w:t>
      </w:r>
    </w:p>
    <w:p>
      <w:pPr>
        <w:spacing w:after="0" w:line="112"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color w:val="auto"/>
        </w:rPr>
        <w:t>As of March 31, 2020, invested assets and cash in our holding company totaled approximately $2,234,000. If the aforementioned sources of cash flow currently available are insufficient to cover our holding company cash requirements, we will seek to obtain additional financing.</w:t>
      </w:r>
    </w:p>
    <w:p>
      <w:pPr>
        <w:spacing w:after="0" w:line="170"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color w:val="auto"/>
        </w:rPr>
        <w:t>Our reconciliation of net income to net cash provided by operations is generally influenced by the collection of premiums in advance of paid losses, the timing of reinsurance, issuing company settlements and loss payments.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8" w:name="page59"/>
    <w:bookmarkEnd w:id="58"/>
    <w:p>
      <w:pPr>
        <w:ind w:firstLine="627"/>
        <w:spacing w:after="0" w:line="281" w:lineRule="auto"/>
        <w:rPr>
          <w:sz w:val="20"/>
          <w:szCs w:val="20"/>
          <w:color w:val="auto"/>
        </w:rPr>
      </w:pPr>
      <w:r>
        <w:rPr>
          <w:rFonts w:ascii="Arial" w:cs="Arial" w:eastAsia="Arial" w:hAnsi="Arial"/>
          <w:sz w:val="17"/>
          <w:szCs w:val="17"/>
          <w:color w:val="auto"/>
        </w:rPr>
        <w:t>Cash flow and liquidity are categorized into three sources: (1) operating activities; (2) investing activities; and (3) financing activities, which are shown in the following table:</w:t>
      </w:r>
    </w:p>
    <w:p>
      <w:pPr>
        <w:sectPr>
          <w:pgSz w:w="11900" w:h="16838" w:orient="portrait"/>
          <w:cols w:equalWidth="0" w:num="1">
            <w:col w:w="11240"/>
          </w:cols>
          <w:pgMar w:left="320" w:top="549" w:right="339" w:bottom="1440" w:gutter="0" w:footer="0" w:header="0"/>
        </w:sectPr>
      </w:pP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Three Months Ended March 31,</w:t>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5"/>
          <w:szCs w:val="15"/>
          <w:color w:val="auto"/>
        </w:rPr>
        <w:t>Cash flows provided by (used in):</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Operating activities</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Investing activities</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left="400"/>
        <w:spacing w:after="0"/>
        <w:tabs>
          <w:tab w:leader="none" w:pos="17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1543685"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43685" cy="1651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right"/>
        <w:ind w:right="140"/>
        <w:spacing w:after="0"/>
        <w:tabs>
          <w:tab w:leader="none" w:pos="2200" w:val="left"/>
          <w:tab w:leader="none" w:pos="1100" w:val="left"/>
          <w:tab w:leader="none" w:pos="720" w:val="left"/>
        </w:tabs>
        <w:rPr>
          <w:sz w:val="20"/>
          <w:szCs w:val="20"/>
          <w:color w:val="auto"/>
        </w:rPr>
      </w:pPr>
      <w:r>
        <w:rPr>
          <w:rFonts w:ascii="Arial" w:cs="Arial" w:eastAsia="Arial" w:hAnsi="Arial"/>
          <w:sz w:val="17"/>
          <w:szCs w:val="17"/>
          <w:color w:val="auto"/>
        </w:rPr>
        <w:t>$</w:t>
        <w:tab/>
        <w:t>(15,256,414)</w:t>
        <w:tab/>
        <w:t>$</w:t>
      </w:r>
      <w:r>
        <w:rPr>
          <w:sz w:val="20"/>
          <w:szCs w:val="20"/>
          <w:color w:val="auto"/>
        </w:rPr>
        <w:tab/>
      </w:r>
      <w:r>
        <w:rPr>
          <w:rFonts w:ascii="Arial" w:cs="Arial" w:eastAsia="Arial" w:hAnsi="Arial"/>
          <w:sz w:val="15"/>
          <w:szCs w:val="15"/>
          <w:color w:val="auto"/>
        </w:rPr>
        <w:t>2,702,404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-5507990</wp:posOffset>
            </wp:positionH>
            <wp:positionV relativeFrom="paragraph">
              <wp:posOffset>-118110</wp:posOffset>
            </wp:positionV>
            <wp:extent cx="7136765" cy="132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6765" cy="132715"/>
                    </a:xfrm>
                    <a:prstGeom prst="rect">
                      <a:avLst/>
                    </a:prstGeom>
                    <a:noFill/>
                  </pic:spPr>
                </pic:pic>
              </a:graphicData>
            </a:graphic>
          </wp:anchor>
        </w:drawing>
      </w:r>
    </w:p>
    <w:p>
      <w:pPr>
        <w:jc w:val="both"/>
        <w:ind w:left="400"/>
        <w:spacing w:after="0"/>
        <w:tabs>
          <w:tab w:leader="none" w:pos="1680" w:val="left"/>
        </w:tabs>
        <w:rPr>
          <w:sz w:val="20"/>
          <w:szCs w:val="20"/>
          <w:color w:val="auto"/>
        </w:rPr>
      </w:pPr>
      <w:r>
        <w:rPr>
          <w:rFonts w:ascii="Arial" w:cs="Arial" w:eastAsia="Arial" w:hAnsi="Arial"/>
          <w:sz w:val="17"/>
          <w:szCs w:val="17"/>
          <w:color w:val="auto"/>
        </w:rPr>
        <w:t>9,458,356</w:t>
      </w:r>
      <w:r>
        <w:rPr>
          <w:sz w:val="20"/>
          <w:szCs w:val="20"/>
          <w:color w:val="auto"/>
        </w:rPr>
        <w:tab/>
      </w:r>
      <w:r>
        <w:rPr>
          <w:rFonts w:ascii="Arial" w:cs="Arial" w:eastAsia="Arial" w:hAnsi="Arial"/>
          <w:sz w:val="17"/>
          <w:szCs w:val="17"/>
          <w:color w:val="auto"/>
        </w:rPr>
        <w:t>(6,884,358)</w:t>
      </w:r>
    </w:p>
    <w:p>
      <w:pPr>
        <w:spacing w:after="0" w:line="30" w:lineRule="exact"/>
        <w:rPr>
          <w:sz w:val="20"/>
          <w:szCs w:val="20"/>
          <w:color w:val="auto"/>
        </w:rPr>
      </w:pPr>
    </w:p>
    <w:p>
      <w:pPr>
        <w:sectPr>
          <w:pgSz w:w="11900" w:h="16838" w:orient="portrait"/>
          <w:cols w:equalWidth="0" w:num="2">
            <w:col w:w="7960" w:space="720"/>
            <w:col w:w="2560"/>
          </w:cols>
          <w:pgMar w:left="320" w:top="549" w:right="3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86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Financing activities</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(1,006,638)</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(1,191,969)</w:t>
            </w:r>
          </w:p>
        </w:tc>
      </w:tr>
      <w:tr>
        <w:trPr>
          <w:trHeight w:val="26"/>
        </w:trPr>
        <w:tc>
          <w:tcPr>
            <w:tcW w:w="868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09"/>
        </w:trPr>
        <w:tc>
          <w:tcPr>
            <w:tcW w:w="8680" w:type="dxa"/>
            <w:vAlign w:val="bottom"/>
          </w:tcPr>
          <w:p>
            <w:pPr>
              <w:ind w:left="40"/>
              <w:spacing w:after="0"/>
              <w:rPr>
                <w:sz w:val="20"/>
                <w:szCs w:val="20"/>
                <w:color w:val="auto"/>
              </w:rPr>
            </w:pPr>
            <w:r>
              <w:rPr>
                <w:rFonts w:ascii="Arial" w:cs="Arial" w:eastAsia="Arial" w:hAnsi="Arial"/>
                <w:sz w:val="17"/>
                <w:szCs w:val="17"/>
                <w:b w:val="1"/>
                <w:bCs w:val="1"/>
                <w:color w:val="auto"/>
              </w:rPr>
              <w:t>Net decrease in cash and cash equivalents</w:t>
            </w:r>
          </w:p>
        </w:tc>
        <w:tc>
          <w:tcPr>
            <w:tcW w:w="1340" w:type="dxa"/>
            <w:vAlign w:val="bottom"/>
            <w:gridSpan w:val="2"/>
          </w:tcPr>
          <w:p>
            <w:pPr>
              <w:jc w:val="right"/>
              <w:ind w:right="200"/>
              <w:spacing w:after="0"/>
              <w:rPr>
                <w:sz w:val="20"/>
                <w:szCs w:val="20"/>
                <w:color w:val="auto"/>
              </w:rPr>
            </w:pPr>
            <w:r>
              <w:rPr>
                <w:rFonts w:ascii="Arial" w:cs="Arial" w:eastAsia="Arial" w:hAnsi="Arial"/>
                <w:sz w:val="17"/>
                <w:szCs w:val="17"/>
                <w:color w:val="auto"/>
              </w:rPr>
              <w:t>(6,804,696)</w:t>
            </w: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(5,373,923)</w:t>
            </w:r>
          </w:p>
        </w:tc>
      </w:tr>
      <w:tr>
        <w:trPr>
          <w:trHeight w:val="215"/>
        </w:trPr>
        <w:tc>
          <w:tcPr>
            <w:tcW w:w="8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Cash and cash equivalents, beginning of period</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32,391,485</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21,138,403</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9"/>
        </w:trPr>
        <w:tc>
          <w:tcPr>
            <w:tcW w:w="8680" w:type="dxa"/>
            <w:vAlign w:val="bottom"/>
          </w:tcPr>
          <w:p>
            <w:pPr>
              <w:ind w:left="40"/>
              <w:spacing w:after="0"/>
              <w:rPr>
                <w:sz w:val="20"/>
                <w:szCs w:val="20"/>
                <w:color w:val="auto"/>
              </w:rPr>
            </w:pPr>
            <w:r>
              <w:rPr>
                <w:rFonts w:ascii="Arial" w:cs="Arial" w:eastAsia="Arial" w:hAnsi="Arial"/>
                <w:sz w:val="17"/>
                <w:szCs w:val="17"/>
                <w:b w:val="1"/>
                <w:bCs w:val="1"/>
                <w:color w:val="auto"/>
              </w:rPr>
              <w:t>Cash and cash equivalents, end of period</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   25,586,789</w:t>
            </w:r>
          </w:p>
        </w:tc>
        <w:tc>
          <w:tcPr>
            <w:tcW w:w="26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   15,764,480</w:t>
            </w:r>
          </w:p>
        </w:tc>
        <w:tc>
          <w:tcPr>
            <w:tcW w:w="120" w:type="dxa"/>
            <w:vAlign w:val="bottom"/>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7" w:lineRule="exact"/>
        <w:rPr>
          <w:sz w:val="20"/>
          <w:szCs w:val="20"/>
          <w:color w:val="auto"/>
        </w:rPr>
      </w:pPr>
    </w:p>
    <w:p>
      <w:pPr>
        <w:jc w:val="both"/>
        <w:ind w:firstLine="627"/>
        <w:spacing w:after="0" w:line="262" w:lineRule="auto"/>
        <w:rPr>
          <w:sz w:val="20"/>
          <w:szCs w:val="20"/>
          <w:color w:val="auto"/>
        </w:rPr>
      </w:pPr>
      <w:r>
        <w:rPr>
          <w:rFonts w:ascii="Arial" w:cs="Arial" w:eastAsia="Arial" w:hAnsi="Arial"/>
          <w:sz w:val="17"/>
          <w:szCs w:val="17"/>
          <w:color w:val="auto"/>
        </w:rPr>
        <w:t>Net cash used in operating activities was $15,256,000 in Three Months 2020 as compared to $2,702,000 provided by operating activites in Three Months 2019. The $17,959,000 decrease in cash flows provided by operating activities in Three Months 2020 was primarily a result of a decrease in cash arising from net fluctuations in assets and liabilities, partially offset by a decrease in net income (adjusted for non-cash items) of $10,506,000. The net fluctuations in assets and liabilities are related to operating activities of KICO as affected by the growth in its operations, payments on claims and changes in quota share ceding rates which are described above.</w:t>
      </w:r>
    </w:p>
    <w:p>
      <w:pPr>
        <w:spacing w:after="0" w:line="122" w:lineRule="exact"/>
        <w:rPr>
          <w:sz w:val="20"/>
          <w:szCs w:val="20"/>
          <w:color w:val="auto"/>
        </w:rPr>
      </w:pPr>
    </w:p>
    <w:p>
      <w:pPr>
        <w:jc w:val="both"/>
        <w:ind w:firstLine="627"/>
        <w:spacing w:after="0" w:line="268" w:lineRule="auto"/>
        <w:rPr>
          <w:sz w:val="20"/>
          <w:szCs w:val="20"/>
          <w:color w:val="auto"/>
        </w:rPr>
      </w:pPr>
      <w:r>
        <w:rPr>
          <w:rFonts w:ascii="Arial" w:cs="Arial" w:eastAsia="Arial" w:hAnsi="Arial"/>
          <w:sz w:val="17"/>
          <w:szCs w:val="17"/>
          <w:color w:val="auto"/>
        </w:rPr>
        <w:t>Net cash provided by investing activities was $9,458,000 in Three Months 2020 compared to $6,884,000 used in investing activities in Three Months 2019. The $16,342,000 increase in net cash provided by investing activities was the result of a $13,921,000 increase in disposal of invested assets, partially offset by a $1,518,000 decrease in acquisitions of invested assets in Three Months 2020.</w:t>
      </w:r>
    </w:p>
    <w:p>
      <w:pPr>
        <w:spacing w:after="0" w:line="116" w:lineRule="exact"/>
        <w:rPr>
          <w:sz w:val="20"/>
          <w:szCs w:val="20"/>
          <w:color w:val="auto"/>
        </w:rPr>
      </w:pPr>
    </w:p>
    <w:p>
      <w:pPr>
        <w:jc w:val="both"/>
        <w:ind w:firstLine="627"/>
        <w:spacing w:after="0" w:line="268" w:lineRule="auto"/>
        <w:rPr>
          <w:sz w:val="20"/>
          <w:szCs w:val="20"/>
          <w:color w:val="auto"/>
        </w:rPr>
      </w:pPr>
      <w:r>
        <w:rPr>
          <w:rFonts w:ascii="Arial" w:cs="Arial" w:eastAsia="Arial" w:hAnsi="Arial"/>
          <w:sz w:val="17"/>
          <w:szCs w:val="17"/>
          <w:color w:val="auto"/>
        </w:rPr>
        <w:t>Net cash used in financing activities was $1,007,000 in Three Months 2020 compared to $1,192,000 used in Three Months 2019. The $185,000 decrease in net cash used in financing activities was attributable to higher dividends and withholding taxes paid on vesting restricted stock awards in Three Months 2019 partially offset by a purchase of treasury stock in Three Months 2020.</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Reinsurance</w:t>
      </w:r>
    </w:p>
    <w:p>
      <w:pPr>
        <w:spacing w:after="0" w:line="161" w:lineRule="exact"/>
        <w:rPr>
          <w:sz w:val="20"/>
          <w:szCs w:val="20"/>
          <w:color w:val="auto"/>
        </w:rPr>
      </w:pPr>
    </w:p>
    <w:p>
      <w:pPr>
        <w:jc w:val="both"/>
        <w:ind w:firstLine="627"/>
        <w:spacing w:after="0" w:line="350" w:lineRule="auto"/>
        <w:rPr>
          <w:sz w:val="20"/>
          <w:szCs w:val="20"/>
          <w:color w:val="auto"/>
        </w:rPr>
      </w:pPr>
      <w:r>
        <w:rPr>
          <w:rFonts w:ascii="Arial" w:cs="Arial" w:eastAsia="Arial" w:hAnsi="Arial"/>
          <w:sz w:val="15"/>
          <w:szCs w:val="15"/>
          <w:color w:val="auto"/>
        </w:rPr>
        <w:t>Through June 30, 2019, our quota share reinsurance treaties were on a July 1 through June 30 fiscal year basis. Effective December 15, 2019, we entered into a quota share reinsurance treaty for our personal lines business covering the period from December 15, 2019 through December 31, 2020 (“2019/2020 Treaty”).</w:t>
      </w:r>
    </w:p>
    <w:p>
      <w:pPr>
        <w:spacing w:after="0" w:line="124"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Our quota share reinsurance treaties in effect during Three Months 2020 and Three Months 2019 for our personal lines business, which primarily consists of homeowners’ policies, were covered under the 2019/2020 Treaty and under a treaty covering a two-year period from July 1, 2017 through June 30, 2019 (“2017/2019 Treaty”). The treaty in effect during Three Months 2019 was covered under the July 1, 2018 through June 30, 2019 treaty year (“2018/2019 Treaty Year”).</w:t>
      </w:r>
    </w:p>
    <w:p>
      <w:pPr>
        <w:spacing w:after="0" w:line="185" w:lineRule="exact"/>
        <w:rPr>
          <w:sz w:val="20"/>
          <w:szCs w:val="20"/>
          <w:color w:val="auto"/>
        </w:rPr>
      </w:pPr>
    </w:p>
    <w:p>
      <w:pPr>
        <w:jc w:val="both"/>
        <w:ind w:firstLine="627"/>
        <w:spacing w:after="0" w:line="268" w:lineRule="auto"/>
        <w:rPr>
          <w:sz w:val="20"/>
          <w:szCs w:val="20"/>
          <w:color w:val="auto"/>
        </w:rPr>
      </w:pPr>
      <w:r>
        <w:rPr>
          <w:rFonts w:ascii="Arial" w:cs="Arial" w:eastAsia="Arial" w:hAnsi="Arial"/>
          <w:sz w:val="17"/>
          <w:szCs w:val="17"/>
          <w:color w:val="auto"/>
        </w:rPr>
        <w:t>Effective July 1, 2019, our 2017/2019 Treaty and commercial umbrella treaty expired on a run-off basis; these treaties were not renewed. We entered into new excess of loss and catastrophe reinsurance treaties effective July 1, 2019. Material terms for our reinsurance treaties in effect for the treaty years shown below are as follows: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176"/>
        </w:trPr>
        <w:tc>
          <w:tcPr>
            <w:tcW w:w="6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Treaty Year</w:t>
            </w: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143"/>
        </w:trPr>
        <w:tc>
          <w:tcPr>
            <w:tcW w:w="6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1"/>
              </w:rPr>
              <w:t>December 15, 2019</w:t>
            </w:r>
          </w:p>
        </w:tc>
        <w:tc>
          <w:tcPr>
            <w:tcW w:w="300" w:type="dxa"/>
            <w:vAlign w:val="bottom"/>
          </w:tcPr>
          <w:p>
            <w:pPr>
              <w:spacing w:after="0"/>
              <w:rPr>
                <w:sz w:val="12"/>
                <w:szCs w:val="12"/>
                <w:color w:val="auto"/>
              </w:rPr>
            </w:pPr>
          </w:p>
        </w:tc>
        <w:tc>
          <w:tcPr>
            <w:tcW w:w="12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4"/>
              </w:rPr>
              <w:t>July 1, 2019</w:t>
            </w:r>
          </w:p>
        </w:tc>
        <w:tc>
          <w:tcPr>
            <w:tcW w:w="320" w:type="dxa"/>
            <w:vAlign w:val="bottom"/>
          </w:tcPr>
          <w:p>
            <w:pPr>
              <w:spacing w:after="0"/>
              <w:rPr>
                <w:sz w:val="12"/>
                <w:szCs w:val="12"/>
                <w:color w:val="auto"/>
              </w:rPr>
            </w:pPr>
          </w:p>
        </w:tc>
        <w:tc>
          <w:tcPr>
            <w:tcW w:w="1260" w:type="dxa"/>
            <w:vAlign w:val="bottom"/>
            <w:gridSpan w:val="2"/>
          </w:tcPr>
          <w:p>
            <w:pPr>
              <w:jc w:val="center"/>
              <w:ind w:right="20"/>
              <w:spacing w:after="0" w:line="143" w:lineRule="exact"/>
              <w:rPr>
                <w:sz w:val="20"/>
                <w:szCs w:val="20"/>
                <w:color w:val="auto"/>
              </w:rPr>
            </w:pPr>
            <w:r>
              <w:rPr>
                <w:rFonts w:ascii="Arial" w:cs="Arial" w:eastAsia="Arial" w:hAnsi="Arial"/>
                <w:sz w:val="14"/>
                <w:szCs w:val="14"/>
                <w:b w:val="1"/>
                <w:bCs w:val="1"/>
                <w:color w:val="auto"/>
                <w:w w:val="91"/>
              </w:rPr>
              <w:t>July 1, 2018</w:t>
            </w:r>
          </w:p>
        </w:tc>
      </w:tr>
      <w:tr>
        <w:trPr>
          <w:trHeight w:val="157"/>
        </w:trPr>
        <w:tc>
          <w:tcPr>
            <w:tcW w:w="6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0"/>
              </w:rPr>
              <w:t>to</w:t>
            </w:r>
          </w:p>
        </w:tc>
        <w:tc>
          <w:tcPr>
            <w:tcW w:w="30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0"/>
              </w:rPr>
              <w:t>to</w:t>
            </w:r>
          </w:p>
        </w:tc>
        <w:tc>
          <w:tcPr>
            <w:tcW w:w="320" w:type="dxa"/>
            <w:vAlign w:val="bottom"/>
          </w:tcPr>
          <w:p>
            <w:pPr>
              <w:spacing w:after="0"/>
              <w:rPr>
                <w:sz w:val="13"/>
                <w:szCs w:val="13"/>
                <w:color w:val="auto"/>
              </w:rPr>
            </w:pPr>
          </w:p>
        </w:tc>
        <w:tc>
          <w:tcPr>
            <w:tcW w:w="1260" w:type="dxa"/>
            <w:vAlign w:val="bottom"/>
            <w:gridSpan w:val="2"/>
          </w:tcPr>
          <w:p>
            <w:pPr>
              <w:jc w:val="center"/>
              <w:ind w:right="20"/>
              <w:spacing w:after="0" w:line="157" w:lineRule="exact"/>
              <w:rPr>
                <w:sz w:val="20"/>
                <w:szCs w:val="20"/>
                <w:color w:val="auto"/>
              </w:rPr>
            </w:pPr>
            <w:r>
              <w:rPr>
                <w:rFonts w:ascii="Arial" w:cs="Arial" w:eastAsia="Arial" w:hAnsi="Arial"/>
                <w:sz w:val="14"/>
                <w:szCs w:val="14"/>
                <w:b w:val="1"/>
                <w:bCs w:val="1"/>
                <w:color w:val="auto"/>
                <w:w w:val="90"/>
              </w:rPr>
              <w:t>to</w:t>
            </w:r>
          </w:p>
        </w:tc>
      </w:tr>
      <w:tr>
        <w:trPr>
          <w:trHeight w:val="176"/>
        </w:trPr>
        <w:tc>
          <w:tcPr>
            <w:tcW w:w="65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Line of Business</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30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14, 2019</w:t>
            </w:r>
          </w:p>
        </w:tc>
        <w:tc>
          <w:tcPr>
            <w:tcW w:w="32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 2019</w:t>
            </w:r>
          </w:p>
        </w:tc>
        <w:tc>
          <w:tcPr>
            <w:tcW w:w="20" w:type="dxa"/>
            <w:vAlign w:val="bottom"/>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1240"/>
          </w:cols>
          <w:pgMar w:left="320" w:top="544" w:right="339" w:bottom="1440" w:gutter="0" w:footer="0" w:header="0"/>
        </w:sectPr>
      </w:pP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Personal Lines</w:t>
      </w:r>
      <w:r>
        <w:rPr>
          <w:rFonts w:ascii="Arial" w:cs="Arial" w:eastAsia="Arial" w:hAnsi="Arial"/>
          <w:sz w:val="17"/>
          <w:szCs w:val="17"/>
          <w:color w:val="auto"/>
        </w:rPr>
        <w:t>:</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Homeowners, dwelling fire and</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and canine legal liability</w:t>
      </w:r>
    </w:p>
    <w:p>
      <w:pPr>
        <w:spacing w:after="0" w:line="14" w:lineRule="exact"/>
        <w:rPr>
          <w:sz w:val="20"/>
          <w:szCs w:val="20"/>
          <w:color w:val="auto"/>
        </w:rPr>
      </w:pPr>
    </w:p>
    <w:p>
      <w:pPr>
        <w:ind w:left="40"/>
        <w:spacing w:after="0"/>
        <w:rPr>
          <w:sz w:val="20"/>
          <w:szCs w:val="20"/>
          <w:color w:val="auto"/>
        </w:rPr>
      </w:pPr>
      <w:r>
        <w:rPr>
          <w:rFonts w:ascii="Arial" w:cs="Arial" w:eastAsia="Arial" w:hAnsi="Arial"/>
          <w:sz w:val="17"/>
          <w:szCs w:val="17"/>
          <w:color w:val="auto"/>
        </w:rPr>
        <w:t>Quota share treaty:</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7"/>
          <w:szCs w:val="17"/>
          <w:color w:val="auto"/>
        </w:rPr>
        <w:t>Percent ceded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Line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39370</wp:posOffset>
            </wp:positionV>
            <wp:extent cx="4140835"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140835" cy="165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440" w:type="dxa"/>
            <w:vAlign w:val="bottom"/>
            <w:gridSpan w:val="2"/>
          </w:tcPr>
          <w:p>
            <w:pPr>
              <w:jc w:val="right"/>
              <w:ind w:right="368"/>
              <w:spacing w:after="0"/>
              <w:rPr>
                <w:sz w:val="20"/>
                <w:szCs w:val="20"/>
                <w:color w:val="auto"/>
              </w:rPr>
            </w:pPr>
            <w:r>
              <w:rPr>
                <w:rFonts w:ascii="Arial" w:cs="Arial" w:eastAsia="Arial" w:hAnsi="Arial"/>
                <w:sz w:val="17"/>
                <w:szCs w:val="17"/>
                <w:color w:val="auto"/>
              </w:rPr>
              <w:t>25%</w:t>
            </w:r>
          </w:p>
        </w:tc>
        <w:tc>
          <w:tcPr>
            <w:tcW w:w="3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7"/>
                <w:szCs w:val="17"/>
                <w:color w:val="auto"/>
                <w:w w:val="93"/>
              </w:rPr>
              <w:t>None</w:t>
            </w:r>
          </w:p>
        </w:tc>
        <w:tc>
          <w:tcPr>
            <w:tcW w:w="1560" w:type="dxa"/>
            <w:vAlign w:val="bottom"/>
            <w:gridSpan w:val="2"/>
          </w:tcPr>
          <w:p>
            <w:pPr>
              <w:jc w:val="right"/>
              <w:ind w:right="348"/>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18"/>
                <w:szCs w:val="18"/>
                <w:color w:val="auto"/>
              </w:rPr>
            </w:pPr>
          </w:p>
        </w:tc>
      </w:tr>
      <w:tr>
        <w:trPr>
          <w:trHeight w:val="453"/>
        </w:trPr>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Treaty Year</w:t>
            </w: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r>
        <w:trPr>
          <w:trHeight w:val="251"/>
        </w:trPr>
        <w:tc>
          <w:tcPr>
            <w:tcW w:w="16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1"/>
              </w:rPr>
              <w:t>December 15, 2019</w:t>
            </w:r>
          </w:p>
        </w:tc>
        <w:tc>
          <w:tcPr>
            <w:tcW w:w="30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July 1, 2019</w:t>
            </w:r>
          </w:p>
        </w:tc>
        <w:tc>
          <w:tcPr>
            <w:tcW w:w="320" w:type="dxa"/>
            <w:vAlign w:val="bottom"/>
          </w:tcPr>
          <w:p>
            <w:pPr>
              <w:spacing w:after="0"/>
              <w:rPr>
                <w:sz w:val="21"/>
                <w:szCs w:val="21"/>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July 1, 2018</w:t>
            </w:r>
          </w:p>
        </w:tc>
      </w:tr>
      <w:tr>
        <w:trPr>
          <w:trHeight w:val="235"/>
        </w:trPr>
        <w:tc>
          <w:tcPr>
            <w:tcW w:w="16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0"/>
              </w:rPr>
              <w:t>to</w:t>
            </w:r>
          </w:p>
        </w:tc>
        <w:tc>
          <w:tcPr>
            <w:tcW w:w="30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0"/>
              </w:rPr>
              <w:t>to</w:t>
            </w:r>
          </w:p>
        </w:tc>
        <w:tc>
          <w:tcPr>
            <w:tcW w:w="320" w:type="dxa"/>
            <w:vAlign w:val="bottom"/>
          </w:tcPr>
          <w:p>
            <w:pPr>
              <w:spacing w:after="0"/>
              <w:rPr>
                <w:sz w:val="20"/>
                <w:szCs w:val="20"/>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to</w:t>
            </w:r>
          </w:p>
        </w:tc>
      </w:tr>
      <w:tr>
        <w:trPr>
          <w:trHeight w:val="226"/>
        </w:trPr>
        <w:tc>
          <w:tcPr>
            <w:tcW w:w="160" w:type="dxa"/>
            <w:vAlign w:val="bottom"/>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 2020</w:t>
            </w:r>
          </w:p>
        </w:tc>
        <w:tc>
          <w:tcPr>
            <w:tcW w:w="300" w:type="dxa"/>
            <w:vAlign w:val="bottom"/>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December 14, 2019</w:t>
            </w:r>
          </w:p>
        </w:tc>
        <w:tc>
          <w:tcPr>
            <w:tcW w:w="32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June 30, 2019</w:t>
            </w:r>
          </w:p>
        </w:tc>
        <w:tc>
          <w:tcPr>
            <w:tcW w:w="1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-4136390</wp:posOffset>
            </wp:positionH>
            <wp:positionV relativeFrom="paragraph">
              <wp:posOffset>-912495</wp:posOffset>
            </wp:positionV>
            <wp:extent cx="7136765" cy="1492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6765" cy="1492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00" w:space="720"/>
            <w:col w:w="4720"/>
          </w:cols>
          <w:pgMar w:left="320" w:top="544" w:right="339" w:bottom="1440" w:gutter="0" w:footer="0" w:header="0"/>
          <w:type w:val="continuous"/>
        </w:sectPr>
      </w:pP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80" w:type="dxa"/>
            <w:vAlign w:val="bottom"/>
          </w:tcPr>
          <w:p>
            <w:pPr>
              <w:spacing w:after="0"/>
              <w:rPr>
                <w:sz w:val="20"/>
                <w:szCs w:val="20"/>
                <w:color w:val="auto"/>
              </w:rPr>
            </w:pPr>
            <w:r>
              <w:rPr>
                <w:rFonts w:ascii="Arial" w:cs="Arial" w:eastAsia="Arial" w:hAnsi="Arial"/>
                <w:sz w:val="17"/>
                <w:szCs w:val="17"/>
                <w:color w:val="auto"/>
              </w:rPr>
              <w:t>Personal Lines:</w:t>
            </w:r>
          </w:p>
        </w:tc>
        <w:tc>
          <w:tcPr>
            <w:tcW w:w="2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5"/>
        </w:trPr>
        <w:tc>
          <w:tcPr>
            <w:tcW w:w="4780" w:type="dxa"/>
            <w:vAlign w:val="bottom"/>
          </w:tcPr>
          <w:p>
            <w:pPr>
              <w:spacing w:after="0"/>
              <w:rPr>
                <w:sz w:val="20"/>
                <w:szCs w:val="20"/>
                <w:color w:val="auto"/>
              </w:rPr>
            </w:pPr>
            <w:r>
              <w:rPr>
                <w:rFonts w:ascii="Arial" w:cs="Arial" w:eastAsia="Arial" w:hAnsi="Arial"/>
                <w:sz w:val="17"/>
                <w:szCs w:val="17"/>
                <w:color w:val="auto"/>
              </w:rPr>
              <w:t>Homeowners, dwelling fire</w:t>
            </w:r>
          </w:p>
        </w:tc>
        <w:tc>
          <w:tcPr>
            <w:tcW w:w="20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5"/>
        </w:trPr>
        <w:tc>
          <w:tcPr>
            <w:tcW w:w="4780" w:type="dxa"/>
            <w:vAlign w:val="bottom"/>
          </w:tcPr>
          <w:p>
            <w:pPr>
              <w:ind w:left="160"/>
              <w:spacing w:after="0"/>
              <w:rPr>
                <w:sz w:val="20"/>
                <w:szCs w:val="20"/>
                <w:color w:val="auto"/>
              </w:rPr>
            </w:pPr>
            <w:r>
              <w:rPr>
                <w:rFonts w:ascii="Arial" w:cs="Arial" w:eastAsia="Arial" w:hAnsi="Arial"/>
                <w:sz w:val="17"/>
                <w:szCs w:val="17"/>
                <w:color w:val="auto"/>
              </w:rPr>
              <w:t>and canine legal liability</w:t>
            </w:r>
          </w:p>
        </w:tc>
        <w:tc>
          <w:tcPr>
            <w:tcW w:w="20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5"/>
        </w:trPr>
        <w:tc>
          <w:tcPr>
            <w:tcW w:w="4780" w:type="dxa"/>
            <w:vAlign w:val="bottom"/>
          </w:tcPr>
          <w:p>
            <w:pPr>
              <w:ind w:left="160"/>
              <w:spacing w:after="0"/>
              <w:rPr>
                <w:sz w:val="20"/>
                <w:szCs w:val="20"/>
                <w:color w:val="auto"/>
              </w:rPr>
            </w:pPr>
            <w:r>
              <w:rPr>
                <w:rFonts w:ascii="Arial" w:cs="Arial" w:eastAsia="Arial" w:hAnsi="Arial"/>
                <w:sz w:val="17"/>
                <w:szCs w:val="17"/>
                <w:color w:val="auto"/>
              </w:rPr>
              <w:t>Quota share treaty:</w:t>
            </w:r>
          </w:p>
        </w:tc>
        <w:tc>
          <w:tcPr>
            <w:tcW w:w="20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6"/>
        </w:trPr>
        <w:tc>
          <w:tcPr>
            <w:tcW w:w="4780" w:type="dxa"/>
            <w:vAlign w:val="bottom"/>
          </w:tcPr>
          <w:p>
            <w:pPr>
              <w:ind w:left="320"/>
              <w:spacing w:after="0"/>
              <w:rPr>
                <w:sz w:val="20"/>
                <w:szCs w:val="20"/>
                <w:color w:val="auto"/>
              </w:rPr>
            </w:pPr>
            <w:r>
              <w:rPr>
                <w:rFonts w:ascii="Arial" w:cs="Arial" w:eastAsia="Arial" w:hAnsi="Arial"/>
                <w:sz w:val="17"/>
                <w:szCs w:val="17"/>
                <w:color w:val="auto"/>
              </w:rPr>
              <w:t>Risk retained on intial $1,000,000</w:t>
            </w:r>
          </w:p>
        </w:tc>
        <w:tc>
          <w:tcPr>
            <w:tcW w:w="20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10"/>
        </w:trPr>
        <w:tc>
          <w:tcPr>
            <w:tcW w:w="47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of losses</w:t>
            </w:r>
          </w:p>
        </w:tc>
        <w:tc>
          <w:tcPr>
            <w:tcW w:w="2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750,000</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1,000,000</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900,000</w:t>
            </w:r>
          </w:p>
        </w:tc>
      </w:tr>
      <w:tr>
        <w:trPr>
          <w:trHeight w:val="209"/>
        </w:trPr>
        <w:tc>
          <w:tcPr>
            <w:tcW w:w="4780" w:type="dxa"/>
            <w:vAlign w:val="bottom"/>
          </w:tcPr>
          <w:p>
            <w:pPr>
              <w:ind w:left="160"/>
              <w:spacing w:after="0"/>
              <w:rPr>
                <w:sz w:val="20"/>
                <w:szCs w:val="20"/>
                <w:color w:val="auto"/>
              </w:rPr>
            </w:pPr>
            <w:r>
              <w:rPr>
                <w:rFonts w:ascii="Arial" w:cs="Arial" w:eastAsia="Arial" w:hAnsi="Arial"/>
                <w:sz w:val="17"/>
                <w:szCs w:val="17"/>
                <w:color w:val="auto"/>
              </w:rPr>
              <w:t>Losses per occurrence subject to</w:t>
            </w:r>
          </w:p>
        </w:tc>
        <w:tc>
          <w:tcPr>
            <w:tcW w:w="2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5"/>
        </w:trPr>
        <w:tc>
          <w:tcPr>
            <w:tcW w:w="47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quota share reinsurance coverage</w:t>
            </w:r>
          </w:p>
        </w:tc>
        <w:tc>
          <w:tcPr>
            <w:tcW w:w="2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1,000,000</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center"/>
              <w:ind w:right="195"/>
              <w:spacing w:after="0"/>
              <w:rPr>
                <w:sz w:val="20"/>
                <w:szCs w:val="20"/>
                <w:color w:val="auto"/>
              </w:rPr>
            </w:pPr>
            <w:r>
              <w:rPr>
                <w:rFonts w:ascii="Arial" w:cs="Arial" w:eastAsia="Arial" w:hAnsi="Arial"/>
                <w:sz w:val="17"/>
                <w:szCs w:val="17"/>
                <w:color w:val="auto"/>
                <w:w w:val="93"/>
              </w:rPr>
              <w:t>None</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1,000,000</w:t>
            </w:r>
          </w:p>
        </w:tc>
      </w:tr>
      <w:tr>
        <w:trPr>
          <w:trHeight w:val="209"/>
        </w:trPr>
        <w:tc>
          <w:tcPr>
            <w:tcW w:w="4780" w:type="dxa"/>
            <w:vAlign w:val="bottom"/>
          </w:tcPr>
          <w:p>
            <w:pPr>
              <w:spacing w:after="0"/>
              <w:rPr>
                <w:sz w:val="20"/>
                <w:szCs w:val="20"/>
                <w:color w:val="auto"/>
              </w:rPr>
            </w:pPr>
            <w:r>
              <w:rPr>
                <w:rFonts w:ascii="Arial" w:cs="Arial" w:eastAsia="Arial" w:hAnsi="Arial"/>
                <w:sz w:val="17"/>
                <w:szCs w:val="17"/>
                <w:color w:val="auto"/>
              </w:rPr>
              <w:t>Excess of loss coverage and facultative</w:t>
            </w:r>
          </w:p>
        </w:tc>
        <w:tc>
          <w:tcPr>
            <w:tcW w:w="2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9"/>
        </w:trPr>
        <w:tc>
          <w:tcPr>
            <w:tcW w:w="47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facility coverage (1)</w:t>
            </w:r>
          </w:p>
        </w:tc>
        <w:tc>
          <w:tcPr>
            <w:tcW w:w="2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9,000,000</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9,000,000</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9,000,000</w:t>
            </w:r>
          </w:p>
        </w:tc>
      </w:tr>
      <w:tr>
        <w:trPr>
          <w:trHeight w:val="234"/>
        </w:trPr>
        <w:tc>
          <w:tcPr>
            <w:tcW w:w="47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80" w:type="dxa"/>
            <w:vAlign w:val="bottom"/>
          </w:tcPr>
          <w:p>
            <w:pPr>
              <w:jc w:val="right"/>
              <w:ind w:right="135"/>
              <w:spacing w:after="0"/>
              <w:rPr>
                <w:sz w:val="20"/>
                <w:szCs w:val="20"/>
                <w:color w:val="auto"/>
              </w:rPr>
            </w:pPr>
            <w:r>
              <w:rPr>
                <w:rFonts w:ascii="Arial" w:cs="Arial" w:eastAsia="Arial" w:hAnsi="Arial"/>
                <w:sz w:val="17"/>
                <w:szCs w:val="17"/>
                <w:color w:val="auto"/>
              </w:rPr>
              <w:t>in excess of</w:t>
            </w:r>
          </w:p>
        </w:tc>
        <w:tc>
          <w:tcPr>
            <w:tcW w:w="280" w:type="dxa"/>
            <w:vAlign w:val="bottom"/>
          </w:tcPr>
          <w:p>
            <w:pPr>
              <w:spacing w:after="0"/>
              <w:rPr>
                <w:sz w:val="20"/>
                <w:szCs w:val="20"/>
                <w:color w:val="auto"/>
              </w:rPr>
            </w:pPr>
          </w:p>
        </w:tc>
        <w:tc>
          <w:tcPr>
            <w:tcW w:w="1300" w:type="dxa"/>
            <w:vAlign w:val="bottom"/>
          </w:tcPr>
          <w:p>
            <w:pPr>
              <w:jc w:val="right"/>
              <w:ind w:right="275"/>
              <w:spacing w:after="0"/>
              <w:rPr>
                <w:sz w:val="20"/>
                <w:szCs w:val="20"/>
                <w:color w:val="auto"/>
              </w:rPr>
            </w:pPr>
            <w:r>
              <w:rPr>
                <w:rFonts w:ascii="Arial" w:cs="Arial" w:eastAsia="Arial" w:hAnsi="Arial"/>
                <w:sz w:val="17"/>
                <w:szCs w:val="17"/>
                <w:color w:val="auto"/>
              </w:rPr>
              <w:t>in excess of</w:t>
            </w:r>
          </w:p>
        </w:tc>
        <w:tc>
          <w:tcPr>
            <w:tcW w:w="280" w:type="dxa"/>
            <w:vAlign w:val="bottom"/>
          </w:tcPr>
          <w:p>
            <w:pPr>
              <w:spacing w:after="0"/>
              <w:rPr>
                <w:sz w:val="20"/>
                <w:szCs w:val="20"/>
                <w:color w:val="auto"/>
              </w:rPr>
            </w:pPr>
          </w:p>
        </w:tc>
        <w:tc>
          <w:tcPr>
            <w:tcW w:w="1280" w:type="dxa"/>
            <w:vAlign w:val="bottom"/>
          </w:tcPr>
          <w:p>
            <w:pPr>
              <w:jc w:val="right"/>
              <w:ind w:right="275"/>
              <w:spacing w:after="0"/>
              <w:rPr>
                <w:sz w:val="20"/>
                <w:szCs w:val="20"/>
                <w:color w:val="auto"/>
              </w:rPr>
            </w:pPr>
            <w:r>
              <w:rPr>
                <w:rFonts w:ascii="Arial" w:cs="Arial" w:eastAsia="Arial" w:hAnsi="Arial"/>
                <w:sz w:val="17"/>
                <w:szCs w:val="17"/>
                <w:color w:val="auto"/>
              </w:rPr>
              <w:t>in excess of</w:t>
            </w:r>
          </w:p>
        </w:tc>
      </w:tr>
      <w:tr>
        <w:trPr>
          <w:trHeight w:val="210"/>
        </w:trPr>
        <w:tc>
          <w:tcPr>
            <w:tcW w:w="478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1,000,000</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1,000,000</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1,000,000</w:t>
            </w:r>
          </w:p>
        </w:tc>
      </w:tr>
      <w:tr>
        <w:trPr>
          <w:trHeight w:val="209"/>
        </w:trPr>
        <w:tc>
          <w:tcPr>
            <w:tcW w:w="4780" w:type="dxa"/>
            <w:vAlign w:val="bottom"/>
          </w:tcPr>
          <w:p>
            <w:pPr>
              <w:spacing w:after="0"/>
              <w:rPr>
                <w:sz w:val="20"/>
                <w:szCs w:val="20"/>
                <w:color w:val="auto"/>
              </w:rPr>
            </w:pPr>
            <w:r>
              <w:rPr>
                <w:rFonts w:ascii="Arial" w:cs="Arial" w:eastAsia="Arial" w:hAnsi="Arial"/>
                <w:sz w:val="17"/>
                <w:szCs w:val="17"/>
                <w:color w:val="auto"/>
              </w:rPr>
              <w:t>Total reinsurance coverage per occurrence</w:t>
            </w:r>
          </w:p>
        </w:tc>
        <w:tc>
          <w:tcPr>
            <w:tcW w:w="20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75"/>
              <w:spacing w:after="0"/>
              <w:rPr>
                <w:sz w:val="20"/>
                <w:szCs w:val="20"/>
                <w:color w:val="auto"/>
              </w:rPr>
            </w:pPr>
            <w:r>
              <w:rPr>
                <w:rFonts w:ascii="Arial" w:cs="Arial" w:eastAsia="Arial" w:hAnsi="Arial"/>
                <w:sz w:val="17"/>
                <w:szCs w:val="17"/>
                <w:color w:val="auto"/>
              </w:rPr>
              <w:t>9,250,000</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75"/>
              <w:spacing w:after="0"/>
              <w:rPr>
                <w:sz w:val="20"/>
                <w:szCs w:val="20"/>
                <w:color w:val="auto"/>
              </w:rPr>
            </w:pPr>
            <w:r>
              <w:rPr>
                <w:rFonts w:ascii="Arial" w:cs="Arial" w:eastAsia="Arial" w:hAnsi="Arial"/>
                <w:sz w:val="17"/>
                <w:szCs w:val="17"/>
                <w:color w:val="auto"/>
              </w:rPr>
              <w:t>9,000,000</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75"/>
              <w:spacing w:after="0"/>
              <w:rPr>
                <w:sz w:val="20"/>
                <w:szCs w:val="20"/>
                <w:color w:val="auto"/>
              </w:rPr>
            </w:pPr>
            <w:r>
              <w:rPr>
                <w:rFonts w:ascii="Arial" w:cs="Arial" w:eastAsia="Arial" w:hAnsi="Arial"/>
                <w:sz w:val="17"/>
                <w:szCs w:val="17"/>
                <w:color w:val="auto"/>
              </w:rPr>
              <w:t>9,100,000</w:t>
            </w:r>
          </w:p>
        </w:tc>
      </w:tr>
      <w:tr>
        <w:trPr>
          <w:trHeight w:val="209"/>
        </w:trPr>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Losses per occurrence subject to</w:t>
            </w:r>
          </w:p>
        </w:tc>
        <w:tc>
          <w:tcPr>
            <w:tcW w:w="20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09"/>
        </w:trPr>
        <w:tc>
          <w:tcPr>
            <w:tcW w:w="4780" w:type="dxa"/>
            <w:vAlign w:val="bottom"/>
          </w:tcPr>
          <w:p>
            <w:pPr>
              <w:ind w:left="160"/>
              <w:spacing w:after="0"/>
              <w:rPr>
                <w:sz w:val="20"/>
                <w:szCs w:val="20"/>
                <w:color w:val="auto"/>
              </w:rPr>
            </w:pPr>
            <w:r>
              <w:rPr>
                <w:rFonts w:ascii="Arial" w:cs="Arial" w:eastAsia="Arial" w:hAnsi="Arial"/>
                <w:sz w:val="17"/>
                <w:szCs w:val="17"/>
                <w:color w:val="auto"/>
              </w:rPr>
              <w:t>reinsurance coverage</w:t>
            </w:r>
          </w:p>
        </w:tc>
        <w:tc>
          <w:tcPr>
            <w:tcW w:w="20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75"/>
              <w:spacing w:after="0"/>
              <w:rPr>
                <w:sz w:val="20"/>
                <w:szCs w:val="20"/>
                <w:color w:val="auto"/>
              </w:rPr>
            </w:pPr>
            <w:r>
              <w:rPr>
                <w:rFonts w:ascii="Arial" w:cs="Arial" w:eastAsia="Arial" w:hAnsi="Arial"/>
                <w:sz w:val="17"/>
                <w:szCs w:val="17"/>
                <w:color w:val="auto"/>
              </w:rPr>
              <w:t>10,000,000</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75"/>
              <w:spacing w:after="0"/>
              <w:rPr>
                <w:sz w:val="20"/>
                <w:szCs w:val="20"/>
                <w:color w:val="auto"/>
              </w:rPr>
            </w:pPr>
            <w:r>
              <w:rPr>
                <w:rFonts w:ascii="Arial" w:cs="Arial" w:eastAsia="Arial" w:hAnsi="Arial"/>
                <w:sz w:val="17"/>
                <w:szCs w:val="17"/>
                <w:color w:val="auto"/>
              </w:rPr>
              <w:t>10,000,000</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75"/>
              <w:spacing w:after="0"/>
              <w:rPr>
                <w:sz w:val="20"/>
                <w:szCs w:val="20"/>
                <w:color w:val="auto"/>
              </w:rPr>
            </w:pPr>
            <w:r>
              <w:rPr>
                <w:rFonts w:ascii="Arial" w:cs="Arial" w:eastAsia="Arial" w:hAnsi="Arial"/>
                <w:sz w:val="17"/>
                <w:szCs w:val="17"/>
                <w:color w:val="auto"/>
              </w:rPr>
              <w:t>10,000,000</w:t>
            </w:r>
          </w:p>
        </w:tc>
      </w:tr>
      <w:tr>
        <w:trPr>
          <w:trHeight w:val="235"/>
        </w:trPr>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Expiration date</w:t>
            </w:r>
          </w:p>
        </w:tc>
        <w:tc>
          <w:tcPr>
            <w:tcW w:w="204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92"/>
              </w:rPr>
              <w:t>June 30, 2020</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center"/>
              <w:ind w:right="195"/>
              <w:spacing w:after="0"/>
              <w:rPr>
                <w:sz w:val="20"/>
                <w:szCs w:val="20"/>
                <w:color w:val="auto"/>
              </w:rPr>
            </w:pPr>
            <w:r>
              <w:rPr>
                <w:rFonts w:ascii="Arial" w:cs="Arial" w:eastAsia="Arial" w:hAnsi="Arial"/>
                <w:sz w:val="17"/>
                <w:szCs w:val="17"/>
                <w:color w:val="auto"/>
                <w:w w:val="87"/>
              </w:rPr>
              <w:t>June 30, 2020</w:t>
            </w: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w w:val="89"/>
              </w:rPr>
              <w:t>June 30, 2019</w:t>
            </w:r>
          </w:p>
        </w:tc>
      </w:tr>
      <w:tr>
        <w:trPr>
          <w:trHeight w:val="209"/>
        </w:trPr>
        <w:tc>
          <w:tcPr>
            <w:tcW w:w="47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9"/>
        </w:trPr>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Catastrophe Reinsurance:</w:t>
            </w:r>
          </w:p>
        </w:tc>
        <w:tc>
          <w:tcPr>
            <w:tcW w:w="20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09"/>
        </w:trPr>
        <w:tc>
          <w:tcPr>
            <w:tcW w:w="4780" w:type="dxa"/>
            <w:vAlign w:val="bottom"/>
          </w:tcPr>
          <w:p>
            <w:pPr>
              <w:ind w:left="160"/>
              <w:spacing w:after="0"/>
              <w:rPr>
                <w:sz w:val="20"/>
                <w:szCs w:val="20"/>
                <w:color w:val="auto"/>
              </w:rPr>
            </w:pPr>
            <w:r>
              <w:rPr>
                <w:rFonts w:ascii="Arial" w:cs="Arial" w:eastAsia="Arial" w:hAnsi="Arial"/>
                <w:sz w:val="17"/>
                <w:szCs w:val="17"/>
                <w:color w:val="auto"/>
              </w:rPr>
              <w:t>Initial loss subject to personal lines</w:t>
            </w:r>
          </w:p>
        </w:tc>
        <w:tc>
          <w:tcPr>
            <w:tcW w:w="2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5"/>
        </w:trPr>
        <w:tc>
          <w:tcPr>
            <w:tcW w:w="47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quota share treaty</w:t>
            </w:r>
          </w:p>
        </w:tc>
        <w:tc>
          <w:tcPr>
            <w:tcW w:w="2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7,500,000</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center"/>
              <w:ind w:right="195"/>
              <w:spacing w:after="0"/>
              <w:rPr>
                <w:sz w:val="20"/>
                <w:szCs w:val="20"/>
                <w:color w:val="auto"/>
              </w:rPr>
            </w:pPr>
            <w:r>
              <w:rPr>
                <w:rFonts w:ascii="Arial" w:cs="Arial" w:eastAsia="Arial" w:hAnsi="Arial"/>
                <w:sz w:val="17"/>
                <w:szCs w:val="17"/>
                <w:color w:val="auto"/>
                <w:w w:val="93"/>
              </w:rPr>
              <w:t>None</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5,000,000</w:t>
            </w:r>
          </w:p>
        </w:tc>
      </w:tr>
      <w:tr>
        <w:trPr>
          <w:trHeight w:val="209"/>
        </w:trPr>
        <w:tc>
          <w:tcPr>
            <w:tcW w:w="4780" w:type="dxa"/>
            <w:vAlign w:val="bottom"/>
          </w:tcPr>
          <w:p>
            <w:pPr>
              <w:ind w:left="160"/>
              <w:spacing w:after="0"/>
              <w:rPr>
                <w:sz w:val="20"/>
                <w:szCs w:val="20"/>
                <w:color w:val="auto"/>
              </w:rPr>
            </w:pPr>
            <w:r>
              <w:rPr>
                <w:rFonts w:ascii="Arial" w:cs="Arial" w:eastAsia="Arial" w:hAnsi="Arial"/>
                <w:sz w:val="17"/>
                <w:szCs w:val="17"/>
                <w:color w:val="auto"/>
              </w:rPr>
              <w:t>Risk retained per catastrophe</w:t>
            </w:r>
          </w:p>
        </w:tc>
        <w:tc>
          <w:tcPr>
            <w:tcW w:w="2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9"/>
        </w:trPr>
        <w:tc>
          <w:tcPr>
            <w:tcW w:w="47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occurrence (2)</w:t>
            </w:r>
          </w:p>
        </w:tc>
        <w:tc>
          <w:tcPr>
            <w:tcW w:w="2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5,625,000</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7,500,000</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4,500,000</w:t>
            </w:r>
          </w:p>
        </w:tc>
      </w:tr>
      <w:tr>
        <w:trPr>
          <w:trHeight w:val="209"/>
        </w:trPr>
        <w:tc>
          <w:tcPr>
            <w:tcW w:w="4780" w:type="dxa"/>
            <w:vAlign w:val="bottom"/>
          </w:tcPr>
          <w:p>
            <w:pPr>
              <w:ind w:left="160"/>
              <w:spacing w:after="0"/>
              <w:rPr>
                <w:sz w:val="20"/>
                <w:szCs w:val="20"/>
                <w:color w:val="auto"/>
              </w:rPr>
            </w:pPr>
            <w:r>
              <w:rPr>
                <w:rFonts w:ascii="Arial" w:cs="Arial" w:eastAsia="Arial" w:hAnsi="Arial"/>
                <w:sz w:val="17"/>
                <w:szCs w:val="17"/>
                <w:color w:val="auto"/>
              </w:rPr>
              <w:t>Catastrophe loss coverage in excess of</w:t>
            </w:r>
          </w:p>
        </w:tc>
        <w:tc>
          <w:tcPr>
            <w:tcW w:w="2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9"/>
        </w:trPr>
        <w:tc>
          <w:tcPr>
            <w:tcW w:w="47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quota share coverage (3)</w:t>
            </w:r>
          </w:p>
        </w:tc>
        <w:tc>
          <w:tcPr>
            <w:tcW w:w="2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602,500,000</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602,500,000</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445,000,000</w:t>
            </w:r>
          </w:p>
        </w:tc>
      </w:tr>
      <w:tr>
        <w:trPr>
          <w:trHeight w:val="209"/>
        </w:trPr>
        <w:tc>
          <w:tcPr>
            <w:tcW w:w="4780" w:type="dxa"/>
            <w:vAlign w:val="bottom"/>
          </w:tcPr>
          <w:p>
            <w:pPr>
              <w:ind w:left="160"/>
              <w:spacing w:after="0"/>
              <w:rPr>
                <w:sz w:val="20"/>
                <w:szCs w:val="20"/>
                <w:color w:val="auto"/>
              </w:rPr>
            </w:pPr>
            <w:r>
              <w:rPr>
                <w:rFonts w:ascii="Arial" w:cs="Arial" w:eastAsia="Arial" w:hAnsi="Arial"/>
                <w:sz w:val="17"/>
                <w:szCs w:val="17"/>
                <w:color w:val="auto"/>
              </w:rPr>
              <w:t>Reinstatement premium</w:t>
            </w:r>
          </w:p>
        </w:tc>
        <w:tc>
          <w:tcPr>
            <w:tcW w:w="20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5"/>
        </w:trPr>
        <w:tc>
          <w:tcPr>
            <w:tcW w:w="47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protection (4) (5)</w:t>
            </w:r>
          </w:p>
        </w:tc>
        <w:tc>
          <w:tcPr>
            <w:tcW w:w="204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535"/>
              <w:spacing w:after="0"/>
              <w:rPr>
                <w:sz w:val="20"/>
                <w:szCs w:val="20"/>
                <w:color w:val="auto"/>
              </w:rPr>
            </w:pPr>
            <w:r>
              <w:rPr>
                <w:rFonts w:ascii="Arial" w:cs="Arial" w:eastAsia="Arial" w:hAnsi="Arial"/>
                <w:sz w:val="17"/>
                <w:szCs w:val="17"/>
                <w:color w:val="auto"/>
              </w:rPr>
              <w:t>Yes</w:t>
            </w:r>
          </w:p>
        </w:tc>
        <w:tc>
          <w:tcPr>
            <w:tcW w:w="280" w:type="dxa"/>
            <w:vAlign w:val="bottom"/>
            <w:shd w:val="clear" w:color="auto" w:fill="CCEEFF"/>
          </w:tcPr>
          <w:p>
            <w:pPr>
              <w:spacing w:after="0"/>
              <w:rPr>
                <w:sz w:val="20"/>
                <w:szCs w:val="20"/>
                <w:color w:val="auto"/>
              </w:rPr>
            </w:pPr>
          </w:p>
        </w:tc>
        <w:tc>
          <w:tcPr>
            <w:tcW w:w="1300" w:type="dxa"/>
            <w:vAlign w:val="bottom"/>
            <w:shd w:val="clear" w:color="auto" w:fill="CCEEFF"/>
          </w:tcPr>
          <w:p>
            <w:pPr>
              <w:jc w:val="center"/>
              <w:ind w:right="155"/>
              <w:spacing w:after="0"/>
              <w:rPr>
                <w:sz w:val="20"/>
                <w:szCs w:val="20"/>
                <w:color w:val="auto"/>
              </w:rPr>
            </w:pPr>
            <w:r>
              <w:rPr>
                <w:rFonts w:ascii="Arial" w:cs="Arial" w:eastAsia="Arial" w:hAnsi="Arial"/>
                <w:sz w:val="17"/>
                <w:szCs w:val="17"/>
                <w:color w:val="auto"/>
                <w:w w:val="88"/>
              </w:rPr>
              <w:t>Yes</w:t>
            </w: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555"/>
              <w:spacing w:after="0"/>
              <w:rPr>
                <w:sz w:val="20"/>
                <w:szCs w:val="20"/>
                <w:color w:val="auto"/>
              </w:rPr>
            </w:pPr>
            <w:r>
              <w:rPr>
                <w:rFonts w:ascii="Arial" w:cs="Arial" w:eastAsia="Arial" w:hAnsi="Arial"/>
                <w:sz w:val="17"/>
                <w:szCs w:val="17"/>
                <w:color w:val="auto"/>
              </w:rPr>
              <w:t>Yes</w:t>
            </w:r>
          </w:p>
        </w:tc>
      </w:tr>
    </w:tbl>
    <w:p>
      <w:pPr>
        <w:spacing w:after="0" w:line="201" w:lineRule="exact"/>
        <w:rPr>
          <w:sz w:val="20"/>
          <w:szCs w:val="20"/>
          <w:color w:val="auto"/>
        </w:rPr>
      </w:pPr>
    </w:p>
    <w:p>
      <w:pPr>
        <w:ind w:left="320" w:hanging="315"/>
        <w:spacing w:after="0" w:line="260" w:lineRule="auto"/>
        <w:tabs>
          <w:tab w:leader="none" w:pos="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For personal lines, includes the addition of an automatic facultative facility allowing KICO to obtain homeowners single risk coverage up to $10,000,000 in total insured value, which covers direct losses from $3,500,000 to $10,000,000.</w:t>
      </w:r>
    </w:p>
    <w:p>
      <w:pPr>
        <w:ind w:left="320" w:hanging="315"/>
        <w:spacing w:after="0"/>
        <w:tabs>
          <w:tab w:leader="none" w:pos="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Plus losses in excess of catastrophe coverage.</w:t>
      </w:r>
    </w:p>
    <w:p>
      <w:pPr>
        <w:spacing w:after="0" w:line="13" w:lineRule="exact"/>
        <w:rPr>
          <w:rFonts w:ascii="Arial" w:cs="Arial" w:eastAsia="Arial" w:hAnsi="Arial"/>
          <w:sz w:val="17"/>
          <w:szCs w:val="17"/>
          <w:color w:val="auto"/>
        </w:rPr>
      </w:pPr>
    </w:p>
    <w:p>
      <w:pPr>
        <w:ind w:left="320" w:hanging="315"/>
        <w:spacing w:after="0" w:line="256" w:lineRule="auto"/>
        <w:tabs>
          <w:tab w:leader="none" w:pos="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Catastrophe coverage is limited on an annual basis to two times the per occurrence amounts. Duration of 168 consecutive hours for a catastrophe occurrence from windstorm, hail, tornado, hurricane and cyclone.</w:t>
      </w:r>
    </w:p>
    <w:p>
      <w:pPr>
        <w:spacing w:after="0" w:line="1" w:lineRule="exact"/>
        <w:rPr>
          <w:rFonts w:ascii="Arial" w:cs="Arial" w:eastAsia="Arial" w:hAnsi="Arial"/>
          <w:sz w:val="17"/>
          <w:szCs w:val="17"/>
          <w:color w:val="auto"/>
        </w:rPr>
      </w:pPr>
    </w:p>
    <w:p>
      <w:pPr>
        <w:ind w:left="320" w:hanging="315"/>
        <w:spacing w:after="0"/>
        <w:tabs>
          <w:tab w:leader="none" w:pos="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Effective July 1, 2018, reinstatement premium protection for $210,000,000 of catastrophe coverage in excess of $5,000,000.</w:t>
      </w:r>
    </w:p>
    <w:p>
      <w:pPr>
        <w:spacing w:after="0" w:line="13" w:lineRule="exact"/>
        <w:rPr>
          <w:rFonts w:ascii="Arial" w:cs="Arial" w:eastAsia="Arial" w:hAnsi="Arial"/>
          <w:sz w:val="17"/>
          <w:szCs w:val="17"/>
          <w:color w:val="auto"/>
        </w:rPr>
      </w:pPr>
    </w:p>
    <w:p>
      <w:pPr>
        <w:ind w:left="320" w:hanging="315"/>
        <w:spacing w:after="0"/>
        <w:tabs>
          <w:tab w:leader="none" w:pos="3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Effective July 1, 2019, reinstatement premium protection for $292,500,000 of catastrophe coverage in excess of $7,500,000.</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176"/>
        </w:trPr>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4"/>
          </w:tcPr>
          <w:p>
            <w:pPr>
              <w:jc w:val="right"/>
              <w:ind w:right="757"/>
              <w:spacing w:after="0"/>
              <w:rPr>
                <w:sz w:val="20"/>
                <w:szCs w:val="20"/>
                <w:color w:val="auto"/>
              </w:rPr>
            </w:pPr>
            <w:r>
              <w:rPr>
                <w:rFonts w:ascii="Arial" w:cs="Arial" w:eastAsia="Arial" w:hAnsi="Arial"/>
                <w:sz w:val="14"/>
                <w:szCs w:val="14"/>
                <w:b w:val="1"/>
                <w:bCs w:val="1"/>
                <w:color w:val="auto"/>
              </w:rPr>
              <w:t>Treaty Year</w:t>
            </w:r>
          </w:p>
        </w:tc>
        <w:tc>
          <w:tcPr>
            <w:tcW w:w="1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July 1, 2019</w:t>
            </w:r>
          </w:p>
        </w:tc>
        <w:tc>
          <w:tcPr>
            <w:tcW w:w="100" w:type="dxa"/>
            <w:vAlign w:val="bottom"/>
          </w:tcPr>
          <w:p>
            <w:pPr>
              <w:spacing w:after="0"/>
              <w:rPr>
                <w:sz w:val="19"/>
                <w:szCs w:val="19"/>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July 1, 2018</w:t>
            </w:r>
          </w:p>
        </w:tc>
        <w:tc>
          <w:tcPr>
            <w:tcW w:w="0" w:type="dxa"/>
            <w:vAlign w:val="bottom"/>
          </w:tcPr>
          <w:p>
            <w:pPr>
              <w:spacing w:after="0"/>
              <w:rPr>
                <w:sz w:val="1"/>
                <w:szCs w:val="1"/>
                <w:color w:val="auto"/>
              </w:rPr>
            </w:pPr>
          </w:p>
        </w:tc>
      </w:tr>
      <w:tr>
        <w:trPr>
          <w:trHeight w:val="209"/>
        </w:trPr>
        <w:tc>
          <w:tcPr>
            <w:tcW w:w="8560" w:type="dxa"/>
            <w:vAlign w:val="bottom"/>
            <w:gridSpan w:val="3"/>
            <w:vMerge w:val="restart"/>
          </w:tcPr>
          <w:p>
            <w:pPr>
              <w:ind w:left="40"/>
              <w:spacing w:after="0"/>
              <w:rPr>
                <w:sz w:val="20"/>
                <w:szCs w:val="20"/>
                <w:color w:val="auto"/>
              </w:rPr>
            </w:pPr>
            <w:r>
              <w:rPr>
                <w:rFonts w:ascii="Arial" w:cs="Arial" w:eastAsia="Arial" w:hAnsi="Arial"/>
                <w:sz w:val="17"/>
                <w:szCs w:val="17"/>
                <w:b w:val="1"/>
                <w:bCs w:val="1"/>
                <w:color w:val="auto"/>
              </w:rPr>
              <w:t>Line of Business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to</w:t>
            </w:r>
          </w:p>
        </w:tc>
        <w:tc>
          <w:tcPr>
            <w:tcW w:w="100" w:type="dxa"/>
            <w:vAlign w:val="bottom"/>
          </w:tcPr>
          <w:p>
            <w:pPr>
              <w:spacing w:after="0"/>
              <w:rPr>
                <w:sz w:val="18"/>
                <w:szCs w:val="18"/>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to</w:t>
            </w:r>
          </w:p>
        </w:tc>
        <w:tc>
          <w:tcPr>
            <w:tcW w:w="0" w:type="dxa"/>
            <w:vAlign w:val="bottom"/>
          </w:tcPr>
          <w:p>
            <w:pPr>
              <w:spacing w:after="0"/>
              <w:rPr>
                <w:sz w:val="1"/>
                <w:szCs w:val="1"/>
                <w:color w:val="auto"/>
              </w:rPr>
            </w:pPr>
          </w:p>
        </w:tc>
      </w:tr>
      <w:tr>
        <w:trPr>
          <w:trHeight w:val="226"/>
        </w:trPr>
        <w:tc>
          <w:tcPr>
            <w:tcW w:w="856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June 30, 2020</w:t>
            </w:r>
          </w:p>
        </w:tc>
        <w:tc>
          <w:tcPr>
            <w:tcW w:w="100" w:type="dxa"/>
            <w:vAlign w:val="bottom"/>
          </w:tcPr>
          <w:p>
            <w:pPr>
              <w:spacing w:after="0"/>
              <w:rPr>
                <w:sz w:val="19"/>
                <w:szCs w:val="19"/>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June 30, 2019</w:t>
            </w:r>
          </w:p>
        </w:tc>
        <w:tc>
          <w:tcPr>
            <w:tcW w:w="0" w:type="dxa"/>
            <w:vAlign w:val="bottom"/>
          </w:tcPr>
          <w:p>
            <w:pPr>
              <w:spacing w:after="0"/>
              <w:rPr>
                <w:sz w:val="1"/>
                <w:szCs w:val="1"/>
                <w:color w:val="auto"/>
              </w:rPr>
            </w:pPr>
          </w:p>
        </w:tc>
      </w:tr>
      <w:tr>
        <w:trPr>
          <w:trHeight w:val="431"/>
        </w:trPr>
        <w:tc>
          <w:tcPr>
            <w:tcW w:w="8560" w:type="dxa"/>
            <w:vAlign w:val="bottom"/>
            <w:tcBorders>
              <w:top w:val="single" w:sz="8" w:color="auto"/>
            </w:tcBorders>
            <w:gridSpan w:val="3"/>
          </w:tcPr>
          <w:p>
            <w:pPr>
              <w:spacing w:after="0"/>
              <w:rPr>
                <w:sz w:val="20"/>
                <w:szCs w:val="20"/>
                <w:color w:val="auto"/>
              </w:rPr>
            </w:pPr>
            <w:r>
              <w:rPr>
                <w:rFonts w:ascii="Arial" w:cs="Arial" w:eastAsia="Arial" w:hAnsi="Arial"/>
                <w:sz w:val="17"/>
                <w:szCs w:val="17"/>
                <w:color w:val="auto"/>
              </w:rPr>
              <w:t>Personal Lines:</w:t>
            </w: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8560" w:type="dxa"/>
            <w:vAlign w:val="bottom"/>
            <w:gridSpan w:val="3"/>
          </w:tcPr>
          <w:p>
            <w:pPr>
              <w:spacing w:after="0"/>
              <w:rPr>
                <w:sz w:val="20"/>
                <w:szCs w:val="20"/>
                <w:color w:val="auto"/>
              </w:rPr>
            </w:pPr>
            <w:r>
              <w:rPr>
                <w:rFonts w:ascii="Arial" w:cs="Arial" w:eastAsia="Arial" w:hAnsi="Arial"/>
                <w:sz w:val="17"/>
                <w:szCs w:val="17"/>
                <w:color w:val="auto"/>
              </w:rPr>
              <w:t>Personal Umbrella</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8560" w:type="dxa"/>
            <w:vAlign w:val="bottom"/>
            <w:gridSpan w:val="3"/>
          </w:tcPr>
          <w:p>
            <w:pPr>
              <w:ind w:left="160"/>
              <w:spacing w:after="0"/>
              <w:rPr>
                <w:sz w:val="20"/>
                <w:szCs w:val="20"/>
                <w:color w:val="auto"/>
              </w:rPr>
            </w:pPr>
            <w:r>
              <w:rPr>
                <w:rFonts w:ascii="Arial" w:cs="Arial" w:eastAsia="Arial" w:hAnsi="Arial"/>
                <w:sz w:val="17"/>
                <w:szCs w:val="17"/>
                <w:color w:val="auto"/>
              </w:rPr>
              <w:t>Quota share treaty: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856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Percent ceded - first $1,000,000 of coverage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gridSpan w:val="3"/>
          </w:tcPr>
          <w:p>
            <w:pPr>
              <w:ind w:left="320"/>
              <w:spacing w:after="0"/>
              <w:rPr>
                <w:sz w:val="20"/>
                <w:szCs w:val="20"/>
                <w:color w:val="auto"/>
              </w:rPr>
            </w:pPr>
            <w:r>
              <w:rPr>
                <w:rFonts w:ascii="Arial" w:cs="Arial" w:eastAsia="Arial" w:hAnsi="Arial"/>
                <w:sz w:val="17"/>
                <w:szCs w:val="17"/>
                <w:color w:val="auto"/>
              </w:rPr>
              <w:t>Percent ceded - excess of $1,000,000 dollars of coverage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7"/>
                <w:szCs w:val="17"/>
                <w:color w:val="auto"/>
              </w:rPr>
              <w:t>100%</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Risk retained</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100,000</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gridSpan w:val="3"/>
          </w:tcPr>
          <w:p>
            <w:pPr>
              <w:ind w:left="320"/>
              <w:spacing w:after="0"/>
              <w:rPr>
                <w:sz w:val="20"/>
                <w:szCs w:val="20"/>
                <w:color w:val="auto"/>
              </w:rPr>
            </w:pPr>
            <w:r>
              <w:rPr>
                <w:rFonts w:ascii="Arial" w:cs="Arial" w:eastAsia="Arial" w:hAnsi="Arial"/>
                <w:sz w:val="17"/>
                <w:szCs w:val="17"/>
                <w:color w:val="auto"/>
              </w:rPr>
              <w:t>Total reinsurance coverage per occurrence</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4,900,000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4,900,000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Losses per occurrence subject to quota share reinsurance coverage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5,000,000</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gridSpan w:val="3"/>
          </w:tcPr>
          <w:p>
            <w:pPr>
              <w:spacing w:after="0"/>
              <w:rPr>
                <w:sz w:val="20"/>
                <w:szCs w:val="20"/>
                <w:color w:val="auto"/>
              </w:rPr>
            </w:pPr>
            <w:r>
              <w:rPr>
                <w:rFonts w:ascii="Arial" w:cs="Arial" w:eastAsia="Arial" w:hAnsi="Arial"/>
                <w:sz w:val="17"/>
                <w:szCs w:val="17"/>
                <w:color w:val="auto"/>
              </w:rPr>
              <w:t>Expiration date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7"/>
                <w:szCs w:val="17"/>
                <w:color w:val="auto"/>
                <w:w w:val="89"/>
              </w:rPr>
              <w:t>June 30, 2020</w:t>
            </w:r>
          </w:p>
        </w:tc>
        <w:tc>
          <w:tcPr>
            <w:tcW w:w="10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7"/>
                <w:szCs w:val="17"/>
                <w:color w:val="auto"/>
                <w:w w:val="89"/>
              </w:rPr>
              <w:t>June 30, 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8560" w:type="dxa"/>
            <w:vAlign w:val="bottom"/>
            <w:gridSpan w:val="3"/>
          </w:tcPr>
          <w:p>
            <w:pPr>
              <w:spacing w:after="0" w:line="170" w:lineRule="exact"/>
              <w:rPr>
                <w:sz w:val="20"/>
                <w:szCs w:val="20"/>
                <w:color w:val="auto"/>
              </w:rPr>
            </w:pPr>
            <w:r>
              <w:rPr>
                <w:rFonts w:ascii="Arial" w:cs="Arial" w:eastAsia="Arial" w:hAnsi="Arial"/>
                <w:sz w:val="17"/>
                <w:szCs w:val="17"/>
                <w:color w:val="auto"/>
              </w:rPr>
              <w:t>Commercial Lines: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10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85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General iability commercial policies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560" w:type="dxa"/>
            <w:vAlign w:val="bottom"/>
            <w:gridSpan w:val="3"/>
          </w:tcPr>
          <w:p>
            <w:pPr>
              <w:ind w:left="160"/>
              <w:spacing w:after="0"/>
              <w:rPr>
                <w:sz w:val="20"/>
                <w:szCs w:val="20"/>
                <w:color w:val="auto"/>
              </w:rPr>
            </w:pPr>
            <w:r>
              <w:rPr>
                <w:rFonts w:ascii="Arial" w:cs="Arial" w:eastAsia="Arial" w:hAnsi="Arial"/>
                <w:sz w:val="17"/>
                <w:szCs w:val="17"/>
                <w:color w:val="auto"/>
              </w:rPr>
              <w:t>Quota share treaty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7"/>
                <w:szCs w:val="17"/>
                <w:color w:val="auto"/>
                <w:w w:val="88"/>
              </w:rPr>
              <w:t>None</w:t>
            </w:r>
          </w:p>
        </w:tc>
        <w:tc>
          <w:tcPr>
            <w:tcW w:w="10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7"/>
                <w:szCs w:val="17"/>
                <w:color w:val="auto"/>
                <w:w w:val="88"/>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Risk retained</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750,000</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gridSpan w:val="3"/>
          </w:tcPr>
          <w:p>
            <w:pPr>
              <w:ind w:left="160"/>
              <w:spacing w:after="0"/>
              <w:rPr>
                <w:sz w:val="20"/>
                <w:szCs w:val="20"/>
                <w:color w:val="auto"/>
              </w:rPr>
            </w:pPr>
            <w:r>
              <w:rPr>
                <w:rFonts w:ascii="Arial" w:cs="Arial" w:eastAsia="Arial" w:hAnsi="Arial"/>
                <w:sz w:val="17"/>
                <w:szCs w:val="17"/>
                <w:color w:val="auto"/>
              </w:rPr>
              <w:t>Excess of loss coverage above risk retained</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3,750,000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3,750,000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10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center"/>
              <w:ind w:right="280"/>
              <w:spacing w:after="0"/>
              <w:rPr>
                <w:sz w:val="20"/>
                <w:szCs w:val="20"/>
                <w:color w:val="auto"/>
              </w:rPr>
            </w:pPr>
            <w:r>
              <w:rPr>
                <w:rFonts w:ascii="Arial" w:cs="Arial" w:eastAsia="Arial" w:hAnsi="Arial"/>
                <w:sz w:val="17"/>
                <w:szCs w:val="17"/>
                <w:color w:val="auto"/>
                <w:w w:val="89"/>
              </w:rPr>
              <w:t>in excess of</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center"/>
              <w:ind w:right="160"/>
              <w:spacing w:after="0"/>
              <w:rPr>
                <w:sz w:val="20"/>
                <w:szCs w:val="20"/>
                <w:color w:val="auto"/>
              </w:rPr>
            </w:pPr>
            <w:r>
              <w:rPr>
                <w:rFonts w:ascii="Arial" w:cs="Arial" w:eastAsia="Arial" w:hAnsi="Arial"/>
                <w:sz w:val="17"/>
                <w:szCs w:val="17"/>
                <w:color w:val="auto"/>
                <w:w w:val="89"/>
              </w:rPr>
              <w:t>in excess of</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750,000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750,000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Total reinsurance coverage per occurrence</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3,750,000</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gridSpan w:val="3"/>
          </w:tcPr>
          <w:p>
            <w:pPr>
              <w:spacing w:after="0"/>
              <w:rPr>
                <w:sz w:val="20"/>
                <w:szCs w:val="20"/>
                <w:color w:val="auto"/>
              </w:rPr>
            </w:pPr>
            <w:r>
              <w:rPr>
                <w:rFonts w:ascii="Arial" w:cs="Arial" w:eastAsia="Arial" w:hAnsi="Arial"/>
                <w:sz w:val="17"/>
                <w:szCs w:val="17"/>
                <w:color w:val="auto"/>
              </w:rPr>
              <w:t>Losses per occurrence subject to reinsurance coverage</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4,500,000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4,500,000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gridSpan w:val="3"/>
          </w:tcPr>
          <w:p>
            <w:pPr>
              <w:spacing w:after="0"/>
              <w:rPr>
                <w:sz w:val="20"/>
                <w:szCs w:val="20"/>
                <w:color w:val="auto"/>
              </w:rPr>
            </w:pPr>
            <w:r>
              <w:rPr>
                <w:rFonts w:ascii="Arial" w:cs="Arial" w:eastAsia="Arial" w:hAnsi="Arial"/>
                <w:sz w:val="17"/>
                <w:szCs w:val="17"/>
                <w:color w:val="auto"/>
              </w:rPr>
              <w:t>Commercial Umbrella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Quota share treaty: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center"/>
              <w:ind w:right="280"/>
              <w:spacing w:after="0"/>
              <w:rPr>
                <w:sz w:val="20"/>
                <w:szCs w:val="20"/>
                <w:color w:val="auto"/>
              </w:rPr>
            </w:pPr>
            <w:r>
              <w:rPr>
                <w:rFonts w:ascii="Arial" w:cs="Arial" w:eastAsia="Arial" w:hAnsi="Arial"/>
                <w:sz w:val="17"/>
                <w:szCs w:val="17"/>
                <w:color w:val="auto"/>
                <w:w w:val="88"/>
              </w:rPr>
              <w:t>None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gridSpan w:val="3"/>
          </w:tcPr>
          <w:p>
            <w:pPr>
              <w:ind w:left="320"/>
              <w:spacing w:after="0"/>
              <w:rPr>
                <w:sz w:val="20"/>
                <w:szCs w:val="20"/>
                <w:color w:val="auto"/>
              </w:rPr>
            </w:pPr>
            <w:r>
              <w:rPr>
                <w:rFonts w:ascii="Arial" w:cs="Arial" w:eastAsia="Arial" w:hAnsi="Arial"/>
                <w:sz w:val="17"/>
                <w:szCs w:val="17"/>
                <w:color w:val="auto"/>
              </w:rPr>
              <w:t>Percent ceded - first $1,000,000 of coverage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Percent ceded - excess of $1,000,000 of coverage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gridSpan w:val="3"/>
          </w:tcPr>
          <w:p>
            <w:pPr>
              <w:ind w:left="320"/>
              <w:spacing w:after="0"/>
              <w:rPr>
                <w:sz w:val="20"/>
                <w:szCs w:val="20"/>
                <w:color w:val="auto"/>
              </w:rPr>
            </w:pPr>
            <w:r>
              <w:rPr>
                <w:rFonts w:ascii="Arial" w:cs="Arial" w:eastAsia="Arial" w:hAnsi="Arial"/>
                <w:sz w:val="17"/>
                <w:szCs w:val="17"/>
                <w:color w:val="auto"/>
              </w:rPr>
              <w:t>Risk retained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100,000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Total reinsurance coverage per occurrence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4,900,000</w:t>
            </w:r>
          </w:p>
        </w:tc>
        <w:tc>
          <w:tcPr>
            <w:tcW w:w="1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560" w:type="dxa"/>
            <w:vAlign w:val="bottom"/>
            <w:gridSpan w:val="3"/>
          </w:tcPr>
          <w:p>
            <w:pPr>
              <w:ind w:left="320"/>
              <w:spacing w:after="0"/>
              <w:rPr>
                <w:sz w:val="20"/>
                <w:szCs w:val="20"/>
                <w:color w:val="auto"/>
              </w:rPr>
            </w:pPr>
            <w:r>
              <w:rPr>
                <w:rFonts w:ascii="Arial" w:cs="Arial" w:eastAsia="Arial" w:hAnsi="Arial"/>
                <w:sz w:val="17"/>
                <w:szCs w:val="17"/>
                <w:color w:val="auto"/>
              </w:rPr>
              <w:t>Losses per occurrence subject to quota share reinsurance coverage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5,000,000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85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Expiration date</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9"/>
              </w:rPr>
              <w:t>June 30, 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both"/>
        <w:ind w:right="20"/>
        <w:spacing w:after="0" w:line="268" w:lineRule="auto"/>
        <w:rPr>
          <w:sz w:val="20"/>
          <w:szCs w:val="20"/>
          <w:color w:val="auto"/>
        </w:rPr>
      </w:pPr>
      <w:r>
        <w:rPr>
          <w:rFonts w:ascii="Arial" w:cs="Arial" w:eastAsia="Arial" w:hAnsi="Arial"/>
          <w:sz w:val="17"/>
          <w:szCs w:val="17"/>
          <w:color w:val="auto"/>
        </w:rPr>
        <w:t>Our catastrophe reinsurance treaty expires on June 30, 2020. Our growth in personal lines premiums and the increasing coastal exposure in Expansion states has increased our risks for catastrophes. We expect our catastrophe rates to increase effective July 1, 2020 to reflect our increased risk and size of our personal lines business as well as anticipated increases in the reinsurance market related to COVID-19 exposure.</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61" w:lineRule="exact"/>
        <w:rPr>
          <w:sz w:val="20"/>
          <w:szCs w:val="20"/>
          <w:color w:val="auto"/>
        </w:rPr>
      </w:pPr>
    </w:p>
    <w:p>
      <w:pPr>
        <w:jc w:val="both"/>
        <w:ind w:right="20" w:firstLine="627"/>
        <w:spacing w:after="0" w:line="313" w:lineRule="auto"/>
        <w:rPr>
          <w:sz w:val="20"/>
          <w:szCs w:val="20"/>
          <w:color w:val="auto"/>
        </w:rPr>
      </w:pPr>
      <w:r>
        <w:rPr>
          <w:rFonts w:ascii="Arial" w:cs="Arial" w:eastAsia="Arial" w:hAnsi="Arial"/>
          <w:sz w:val="16"/>
          <w:szCs w:val="16"/>
          <w:color w:val="auto"/>
        </w:rPr>
        <w:t>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Outlook</w:t>
      </w:r>
    </w:p>
    <w:p>
      <w:pPr>
        <w:spacing w:after="0" w:line="161" w:lineRule="exact"/>
        <w:rPr>
          <w:sz w:val="20"/>
          <w:szCs w:val="20"/>
          <w:color w:val="auto"/>
        </w:rPr>
      </w:pPr>
    </w:p>
    <w:p>
      <w:pPr>
        <w:ind w:right="80" w:firstLine="627"/>
        <w:spacing w:after="0" w:line="282" w:lineRule="auto"/>
        <w:rPr>
          <w:sz w:val="20"/>
          <w:szCs w:val="20"/>
          <w:color w:val="auto"/>
        </w:rPr>
      </w:pPr>
      <w:r>
        <w:rPr>
          <w:rFonts w:ascii="Arial" w:cs="Arial" w:eastAsia="Arial" w:hAnsi="Arial"/>
          <w:sz w:val="16"/>
          <w:szCs w:val="16"/>
          <w:color w:val="auto"/>
        </w:rPr>
        <w:t>The impacts of COVID-19 and related economic conditions on our results are highly uncertain and outside our control. The scope, duration and magnitude of the direct and indirect effects of COVID-19 are evolving rapidly and in ways that are difficult or impossible to anticipate. In addition, because COVID-19 did not begin to affect our financial results until late in the first quarter of 2020, its impact on our results in the first quarter of 2020 is not indicative of its impact on our results for the remainder of 2020. For additional information on the risks posed by COVID-19, see “The impact of COVID-19 and related risks could materially affect our results of operations, financial position and/or liquidity” included in Part II, Item 1A—“Risk Factors” in this Quarterly Report.</w:t>
      </w:r>
    </w:p>
    <w:p>
      <w:pPr>
        <w:spacing w:after="0" w:line="174" w:lineRule="exact"/>
        <w:rPr>
          <w:sz w:val="20"/>
          <w:szCs w:val="20"/>
          <w:color w:val="auto"/>
        </w:rPr>
      </w:pPr>
    </w:p>
    <w:p>
      <w:pPr>
        <w:jc w:val="both"/>
        <w:ind w:right="20" w:firstLine="627"/>
        <w:spacing w:after="0" w:line="299" w:lineRule="auto"/>
        <w:rPr>
          <w:sz w:val="20"/>
          <w:szCs w:val="20"/>
          <w:color w:val="auto"/>
        </w:rPr>
      </w:pPr>
      <w:r>
        <w:rPr>
          <w:rFonts w:ascii="Arial" w:cs="Arial" w:eastAsia="Arial" w:hAnsi="Arial"/>
          <w:sz w:val="15"/>
          <w:szCs w:val="15"/>
          <w:color w:val="auto"/>
        </w:rPr>
        <w:t>Our net premiums earned may be impacted by a number of factors. Net premiums earned are a function of net written premium volume. Net written premiums comprise both renewal business and new business and are recognized as earned premium over the term of the underlying policies. Net written premiums from both renewal and new business are impacted by competitive market conditions as well as general economic conditions. As a result of COVID-19, economic conditions in the United States have rapidly deteriorated. The decreased levels of economic activity will negatively impact premium volumes generated by new business. We began to experience this impact in March 2020 and expect it to persist and be more significant in the second quarter of 2020. We also expect this impact will further persist but to a lesser extent for the remainder of 2020, but the degree of the impact will depend on the extent and duration of the economic contraction and could be material. We have also made underwriting changes to emphasize profitability over growth and have culled out the type of risks that do not generate an acceptable level of return. This action has lead, and will continue to lead, to a slowdown in premium growth, particularly in new business.</w:t>
      </w: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60"/>
          </w:cols>
          <w:pgMar w:left="320" w:top="623" w:right="319" w:bottom="1440" w:gutter="0" w:footer="0" w:header="0"/>
        </w:sectPr>
      </w:pPr>
    </w:p>
    <w:bookmarkStart w:id="61" w:name="page62"/>
    <w:bookmarkEnd w:id="61"/>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u w:val="single" w:color="auto"/>
          <w:color w:val="auto"/>
        </w:rPr>
        <w:t>Quantitative and Qualitative Disclosures About Market Risk</w:t>
      </w:r>
      <w:r>
        <w:rPr>
          <w:rFonts w:ascii="Arial" w:cs="Arial" w:eastAsia="Arial" w:hAnsi="Arial"/>
          <w:sz w:val="17"/>
          <w:szCs w:val="17"/>
          <w:color w:val="auto"/>
        </w:rPr>
        <w:t>.</w:t>
      </w:r>
    </w:p>
    <w:p>
      <w:pPr>
        <w:spacing w:after="0" w:line="22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This item is not applicable to smaller reporting companies.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u w:val="single" w:color="auto"/>
          <w:color w:val="auto"/>
        </w:rPr>
        <w:t>Controls and Procedures</w:t>
      </w:r>
      <w:r>
        <w:rPr>
          <w:rFonts w:ascii="Arial" w:cs="Arial" w:eastAsia="Arial" w:hAnsi="Arial"/>
          <w:sz w:val="17"/>
          <w:szCs w:val="17"/>
          <w:color w:val="auto"/>
        </w:rPr>
        <w:t>.</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223" w:lineRule="exact"/>
        <w:rPr>
          <w:sz w:val="20"/>
          <w:szCs w:val="20"/>
          <w:color w:val="auto"/>
        </w:rPr>
      </w:pPr>
    </w:p>
    <w:p>
      <w:pPr>
        <w:jc w:val="both"/>
        <w:ind w:firstLine="627"/>
        <w:spacing w:after="0" w:line="305" w:lineRule="auto"/>
        <w:rPr>
          <w:sz w:val="20"/>
          <w:szCs w:val="20"/>
          <w:color w:val="auto"/>
        </w:rPr>
      </w:pPr>
      <w:r>
        <w:rPr>
          <w:rFonts w:ascii="Arial" w:cs="Arial" w:eastAsia="Arial" w:hAnsi="Arial"/>
          <w:sz w:val="15"/>
          <w:szCs w:val="15"/>
          <w:color w:val="auto"/>
        </w:rPr>
        <w:t>We maintain a system of disclosure controls and procedures as defined in Rule 13a-15(e) under the Exchange Act that are designed to assure that information required to be disclosed in the reports we file or submit under the Exchange Act is recorded, processed, summarized and reported within the time periods specified in the SEC’s rules and forms, and that such information is accumulated and communicated to management, including our Chief Executive Officer and Chief Financial Officer, as appropriate, to allow timely decisions regarding required disclosures. Based on this evaluation, our Chief Executive Officer and Chief Financial Officer have concluded that, as of March 31, 2020, our disclosure controls and procedures were not effective at the reasonable assurance level.</w:t>
      </w:r>
    </w:p>
    <w:p>
      <w:pPr>
        <w:spacing w:after="0" w:line="93" w:lineRule="exact"/>
        <w:rPr>
          <w:sz w:val="20"/>
          <w:szCs w:val="20"/>
          <w:color w:val="auto"/>
        </w:rPr>
      </w:pPr>
    </w:p>
    <w:p>
      <w:pPr>
        <w:jc w:val="both"/>
        <w:ind w:firstLine="627"/>
        <w:spacing w:after="0" w:line="300" w:lineRule="auto"/>
        <w:rPr>
          <w:sz w:val="20"/>
          <w:szCs w:val="20"/>
          <w:color w:val="auto"/>
        </w:rPr>
      </w:pPr>
      <w:r>
        <w:rPr>
          <w:rFonts w:ascii="Arial" w:cs="Arial" w:eastAsia="Arial" w:hAnsi="Arial"/>
          <w:sz w:val="15"/>
          <w:szCs w:val="15"/>
          <w:color w:val="auto"/>
        </w:rPr>
        <w:t>As required by Exchange Act Rule 13a-15(b), as of the end of the period covered by this Quarterly Report, under the supervision and with the participation of our Chief Executive Officer and Chief Financial Officer, we evaluated the effectiveness of our disclosure controls and procedures. Our management concluded that, as of March 31, 2020, our internal control over financial reporting was not effective. Management determined there was ineffective oversight over the process of setting appropriate liability case reserves, which has been assessed as a material weakness. Case reserve estimates are subject to individual judgment, and provide the primary information used as the basis for setting overall reserve levels including a provision for IBNR reserves. Notwithstanding the material weakness, management has concluded that the accompanying condensed consolidated financial statements included in this Form 10-Q fairly present, in all material respects, the financial position, results of operations, and cash flows for the periods presented in accordance with U.S. generally accepted accounting principles.</w:t>
      </w:r>
    </w:p>
    <w:p>
      <w:pPr>
        <w:spacing w:after="0" w:line="98" w:lineRule="exact"/>
        <w:rPr>
          <w:sz w:val="20"/>
          <w:szCs w:val="20"/>
          <w:color w:val="auto"/>
        </w:rPr>
      </w:pPr>
    </w:p>
    <w:p>
      <w:pPr>
        <w:jc w:val="both"/>
        <w:ind w:right="20" w:firstLine="627"/>
        <w:spacing w:after="0" w:line="281" w:lineRule="auto"/>
        <w:rPr>
          <w:sz w:val="20"/>
          <w:szCs w:val="20"/>
          <w:color w:val="auto"/>
        </w:rPr>
      </w:pPr>
      <w:r>
        <w:rPr>
          <w:rFonts w:ascii="Arial" w:cs="Arial" w:eastAsia="Arial" w:hAnsi="Arial"/>
          <w:sz w:val="17"/>
          <w:szCs w:val="17"/>
          <w:color w:val="auto"/>
        </w:rPr>
        <w:t>A material weakness is a deficiency, or combination of deficiencies, in internal control over financial reporting such that there is a reasonable possibility that a material misstatement of an entity's financial statements will not be prevented or detected and corrected on a timely basis.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Identification of the Material Weakness in Internal Control over Financial Reporting</w:t>
      </w:r>
    </w:p>
    <w:p>
      <w:pPr>
        <w:spacing w:after="0" w:line="157" w:lineRule="exact"/>
        <w:rPr>
          <w:sz w:val="20"/>
          <w:szCs w:val="20"/>
          <w:color w:val="auto"/>
        </w:rPr>
      </w:pPr>
    </w:p>
    <w:p>
      <w:pPr>
        <w:jc w:val="both"/>
        <w:ind w:firstLine="627"/>
        <w:spacing w:after="0" w:line="281" w:lineRule="auto"/>
        <w:rPr>
          <w:sz w:val="20"/>
          <w:szCs w:val="20"/>
          <w:color w:val="auto"/>
        </w:rPr>
      </w:pPr>
      <w:r>
        <w:rPr>
          <w:rFonts w:ascii="Arial" w:cs="Arial" w:eastAsia="Arial" w:hAnsi="Arial"/>
          <w:sz w:val="17"/>
          <w:szCs w:val="17"/>
          <w:color w:val="auto"/>
        </w:rPr>
        <w:t>During our assessment we determined that the following material weaknesses existed as of March 31, 2020 in the principles associated with both the control and monitoring activity components of the COSO framework:</w:t>
      </w:r>
    </w:p>
    <w:p>
      <w:pPr>
        <w:spacing w:after="0" w:line="104" w:lineRule="exact"/>
        <w:rPr>
          <w:sz w:val="20"/>
          <w:szCs w:val="20"/>
          <w:color w:val="auto"/>
        </w:rPr>
      </w:pPr>
    </w:p>
    <w:p>
      <w:pPr>
        <w:jc w:val="both"/>
        <w:ind w:firstLine="627"/>
        <w:spacing w:after="0" w:line="264" w:lineRule="auto"/>
        <w:rPr>
          <w:sz w:val="20"/>
          <w:szCs w:val="20"/>
          <w:color w:val="auto"/>
        </w:rPr>
      </w:pPr>
      <w:r>
        <w:rPr>
          <w:rFonts w:ascii="Arial" w:cs="Arial" w:eastAsia="Arial" w:hAnsi="Arial"/>
          <w:sz w:val="17"/>
          <w:szCs w:val="17"/>
          <w:color w:val="auto"/>
        </w:rPr>
        <w:t>The material weakness relates to the ineffective oversight over the establishment of case reserve levels, as discussed above. As of the date of this report, there have been no misstatements identified. Insurance loss reserving is an inherently judgmental process. It is dependent on individual opinions regarding specific information available at a given point in time. Reviews of our claims reserving process by multiple parties have led to the additional increase in reserves taken in prior quarters.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b w:val="1"/>
          <w:bCs w:val="1"/>
          <w:i w:val="1"/>
          <w:iCs w:val="1"/>
          <w:color w:val="auto"/>
        </w:rPr>
        <w:t>Remediation Plans</w:t>
      </w:r>
    </w:p>
    <w:p>
      <w:pPr>
        <w:spacing w:after="0" w:line="223" w:lineRule="exact"/>
        <w:rPr>
          <w:sz w:val="20"/>
          <w:szCs w:val="20"/>
          <w:color w:val="auto"/>
        </w:rPr>
      </w:pPr>
    </w:p>
    <w:p>
      <w:pPr>
        <w:ind w:firstLine="627"/>
        <w:spacing w:after="0" w:line="281" w:lineRule="auto"/>
        <w:rPr>
          <w:sz w:val="20"/>
          <w:szCs w:val="20"/>
          <w:color w:val="auto"/>
        </w:rPr>
      </w:pPr>
      <w:r>
        <w:rPr>
          <w:rFonts w:ascii="Arial" w:cs="Arial" w:eastAsia="Arial" w:hAnsi="Arial"/>
          <w:sz w:val="17"/>
          <w:szCs w:val="17"/>
          <w:color w:val="auto"/>
        </w:rPr>
        <w:t>Management has been implementing and continues to implement measures designed to ensure that the control deficiency contributing to the material weakness is remediated, such that the controls are designed, implemented, and operating effectively. The remediation actions include:</w:t>
      </w:r>
    </w:p>
    <w:p>
      <w:pPr>
        <w:spacing w:after="0" w:line="170" w:lineRule="exact"/>
        <w:rPr>
          <w:sz w:val="20"/>
          <w:szCs w:val="20"/>
          <w:color w:val="auto"/>
        </w:rPr>
      </w:pPr>
    </w:p>
    <w:p>
      <w:pPr>
        <w:ind w:left="1260" w:hanging="315"/>
        <w:spacing w:after="0" w:line="260" w:lineRule="auto"/>
        <w:tabs>
          <w:tab w:leader="none" w:pos="1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Engaged external resources to perform a comprehensive review of our claims operations surrounding the establishment and monitoring of liability case reserves;</w:t>
      </w:r>
    </w:p>
    <w:p>
      <w:pPr>
        <w:ind w:left="1260" w:hanging="315"/>
        <w:spacing w:after="0" w:line="256" w:lineRule="auto"/>
        <w:tabs>
          <w:tab w:leader="none" w:pos="1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Hired a new Chief Claims Officer whose role includes a review of the entire population of case reserves to the policy level to ensure proper valuation, existence, and completeness;</w:t>
      </w:r>
    </w:p>
    <w:p>
      <w:pPr>
        <w:spacing w:after="0" w:line="1" w:lineRule="exact"/>
        <w:rPr>
          <w:rFonts w:ascii="Arial" w:cs="Arial" w:eastAsia="Arial" w:hAnsi="Arial"/>
          <w:sz w:val="17"/>
          <w:szCs w:val="17"/>
          <w:color w:val="auto"/>
        </w:rPr>
      </w:pPr>
    </w:p>
    <w:p>
      <w:pPr>
        <w:ind w:left="1260" w:hanging="315"/>
        <w:spacing w:after="0"/>
        <w:tabs>
          <w:tab w:leader="none" w:pos="1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Increased the number, experience level and skill of the personnel involved in our claims function through hiring and improved training;</w:t>
      </w:r>
    </w:p>
    <w:p>
      <w:pPr>
        <w:spacing w:after="0" w:line="25" w:lineRule="exact"/>
        <w:rPr>
          <w:rFonts w:ascii="Arial" w:cs="Arial" w:eastAsia="Arial" w:hAnsi="Arial"/>
          <w:sz w:val="16"/>
          <w:szCs w:val="16"/>
          <w:color w:val="auto"/>
        </w:rPr>
      </w:pPr>
    </w:p>
    <w:p>
      <w:pPr>
        <w:jc w:val="both"/>
        <w:ind w:left="1260" w:hanging="315"/>
        <w:spacing w:after="0" w:line="256" w:lineRule="auto"/>
        <w:tabs>
          <w:tab w:leader="none" w:pos="1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Performed a thorough review of existing policies and procedures in place to facilitate the development and documentation of controls over financial reporting regarding liability case reserves. This review led to the addition of multiple controls including a quality assurance process as well as enhanced documentation of our existing controls in place;</w:t>
      </w:r>
    </w:p>
    <w:p>
      <w:pPr>
        <w:spacing w:after="0" w:line="1" w:lineRule="exact"/>
        <w:rPr>
          <w:rFonts w:ascii="Arial" w:cs="Arial" w:eastAsia="Arial" w:hAnsi="Arial"/>
          <w:sz w:val="17"/>
          <w:szCs w:val="17"/>
          <w:color w:val="auto"/>
        </w:rPr>
      </w:pPr>
    </w:p>
    <w:p>
      <w:pPr>
        <w:ind w:left="1260" w:hanging="315"/>
        <w:spacing w:after="0" w:line="273" w:lineRule="auto"/>
        <w:tabs>
          <w:tab w:leader="none" w:pos="1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Enhanced testing procedures performed by our outsourced internal audit to ensure adequate design and operating effectiveness of new and existing internal controls.</w:t>
      </w:r>
    </w:p>
    <w:p>
      <w:pPr>
        <w:spacing w:after="0" w:line="176" w:lineRule="exact"/>
        <w:rPr>
          <w:sz w:val="20"/>
          <w:szCs w:val="20"/>
          <w:color w:val="auto"/>
        </w:rPr>
      </w:pPr>
    </w:p>
    <w:p>
      <w:pPr>
        <w:jc w:val="both"/>
        <w:ind w:firstLine="627"/>
        <w:spacing w:after="0" w:line="268" w:lineRule="auto"/>
        <w:rPr>
          <w:sz w:val="20"/>
          <w:szCs w:val="20"/>
          <w:color w:val="auto"/>
        </w:rPr>
      </w:pPr>
      <w:r>
        <w:rPr>
          <w:rFonts w:ascii="Arial" w:cs="Arial" w:eastAsia="Arial" w:hAnsi="Arial"/>
          <w:sz w:val="17"/>
          <w:szCs w:val="17"/>
          <w:color w:val="auto"/>
        </w:rPr>
        <w:t>We believe that these actions will remediate the material weakness. The weakness will not be considered remediated, however, until the applicable controls operate for a sufficient period of time and management has concluded, through testing, that these controls are operating effectively. We expect that the remediation of this material weakness will be completed prior to the end of fiscal 2020.</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157" w:lineRule="exact"/>
        <w:rPr>
          <w:sz w:val="20"/>
          <w:szCs w:val="20"/>
          <w:color w:val="auto"/>
        </w:rPr>
      </w:pPr>
    </w:p>
    <w:p>
      <w:pPr>
        <w:jc w:val="both"/>
        <w:ind w:firstLine="627"/>
        <w:spacing w:after="0" w:line="268" w:lineRule="auto"/>
        <w:rPr>
          <w:sz w:val="20"/>
          <w:szCs w:val="20"/>
          <w:color w:val="auto"/>
        </w:rPr>
      </w:pPr>
      <w:r>
        <w:rPr>
          <w:rFonts w:ascii="Arial" w:cs="Arial" w:eastAsia="Arial" w:hAnsi="Arial"/>
          <w:sz w:val="17"/>
          <w:szCs w:val="17"/>
          <w:color w:val="auto"/>
        </w:rPr>
        <w:t>Except for the steps taken to remediate the material weakness identified above, there have not been any changes in our internal control over financial reporting (as such term is defined in Rules 13a-15(f) and 15d-15(f) under the Exchange Act) during our most recently completed fiscal quarter that materially affected, or are reasonably likely to materially affect, our internal control over financial reporting.</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Inherent Limitation on Effectiveness of Controls</w:t>
      </w:r>
    </w:p>
    <w:p>
      <w:pPr>
        <w:spacing w:after="0" w:line="223" w:lineRule="exact"/>
        <w:rPr>
          <w:sz w:val="20"/>
          <w:szCs w:val="20"/>
          <w:color w:val="auto"/>
        </w:rPr>
      </w:pPr>
    </w:p>
    <w:p>
      <w:pPr>
        <w:jc w:val="both"/>
        <w:ind w:firstLine="627"/>
        <w:spacing w:after="0" w:line="279" w:lineRule="auto"/>
        <w:rPr>
          <w:sz w:val="20"/>
          <w:szCs w:val="20"/>
          <w:color w:val="auto"/>
        </w:rPr>
      </w:pPr>
      <w:r>
        <w:rPr>
          <w:rFonts w:ascii="Arial" w:cs="Arial" w:eastAsia="Arial" w:hAnsi="Arial"/>
          <w:sz w:val="16"/>
          <w:szCs w:val="16"/>
          <w:color w:val="auto"/>
        </w:rPr>
        <w:t>Internal control over financial reporting is a process designed by, or under the supervision of, our Chief Executive Officer and Chief Financial Officer, and effected by the board of directors, management, and other personnel, to provide reasonable assurance regarding the reliability of financial reporting and the preparation of financial statements for external purposes in accordance with GAAP including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76" w:lineRule="exact"/>
        <w:rPr>
          <w:sz w:val="20"/>
          <w:szCs w:val="20"/>
          <w:color w:val="auto"/>
        </w:rPr>
      </w:pPr>
    </w:p>
    <w:p>
      <w:pPr>
        <w:jc w:val="both"/>
        <w:ind w:firstLine="627"/>
        <w:spacing w:after="0" w:line="268"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and procedures may deteriorate.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7"/>
          <w:szCs w:val="17"/>
          <w:b w:val="1"/>
          <w:bCs w:val="1"/>
          <w:color w:val="auto"/>
        </w:rPr>
        <w:t xml:space="preserve">PART II. </w:t>
      </w:r>
      <w:r>
        <w:rPr>
          <w:rFonts w:ascii="Arial" w:cs="Arial" w:eastAsia="Arial" w:hAnsi="Arial"/>
          <w:sz w:val="17"/>
          <w:szCs w:val="17"/>
          <w:b w:val="1"/>
          <w:bCs w:val="1"/>
          <w:u w:val="single" w:color="auto"/>
          <w:color w:val="auto"/>
        </w:rPr>
        <w:t>OTHER INFORMATION</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u w:val="single" w:color="auto"/>
          <w:color w:val="auto"/>
        </w:rPr>
        <w:t>Legal Proceedings</w:t>
      </w:r>
      <w:r>
        <w:rPr>
          <w:rFonts w:ascii="Arial" w:cs="Arial" w:eastAsia="Arial" w:hAnsi="Arial"/>
          <w:sz w:val="17"/>
          <w:szCs w:val="17"/>
          <w:color w:val="auto"/>
        </w:rPr>
        <w:t>.</w:t>
      </w:r>
    </w:p>
    <w:p>
      <w:pPr>
        <w:spacing w:after="0" w:line="227" w:lineRule="exact"/>
        <w:rPr>
          <w:sz w:val="20"/>
          <w:szCs w:val="20"/>
          <w:color w:val="auto"/>
        </w:rPr>
      </w:pPr>
    </w:p>
    <w:p>
      <w:pPr>
        <w:jc w:val="both"/>
        <w:ind w:firstLine="627"/>
        <w:spacing w:after="0" w:line="277" w:lineRule="auto"/>
        <w:rPr>
          <w:sz w:val="20"/>
          <w:szCs w:val="20"/>
          <w:color w:val="auto"/>
        </w:rPr>
      </w:pPr>
      <w:r>
        <w:rPr>
          <w:rFonts w:ascii="Arial" w:cs="Arial" w:eastAsia="Arial" w:hAnsi="Arial"/>
          <w:sz w:val="16"/>
          <w:szCs w:val="16"/>
          <w:color w:val="auto"/>
        </w:rPr>
        <w:t xml:space="preserve">On June 12, 2019, Phillip Woolgar filed a suit naming the Company and certain present or former officers and directors as defendants in a putative class action captioned </w:t>
      </w:r>
      <w:r>
        <w:rPr>
          <w:rFonts w:ascii="Arial" w:cs="Arial" w:eastAsia="Arial" w:hAnsi="Arial"/>
          <w:sz w:val="16"/>
          <w:szCs w:val="16"/>
          <w:i w:val="1"/>
          <w:iCs w:val="1"/>
          <w:color w:val="auto"/>
        </w:rPr>
        <w:t>Woolgar v. Kingstone Companies et al.</w:t>
      </w:r>
      <w:r>
        <w:rPr>
          <w:rFonts w:ascii="Arial" w:cs="Arial" w:eastAsia="Arial" w:hAnsi="Arial"/>
          <w:sz w:val="16"/>
          <w:szCs w:val="16"/>
          <w:color w:val="auto"/>
        </w:rPr>
        <w:t>, 19 cv 05500 (S.D.N.Y.), asserting claims under Section 10(b) of the Exchange Act and SEC Rule 10b-5 promulgated thereunder and Section 20(a) of the Exchange Act. Plaintiff seeks to represent a class of persons or entities that purchased Kingstone securities between March 14, 2018, and April 29, 2019, and alleges violations of the federal securities law in connection with the Company’s April 29, 2019 announcement regarding losses related to winter catastrophe events. The lawsuit alleges that the Company failed to disclose that it did not adequately follow industry best practices related to claims handling and thus did not record sufficient claim reserves, and that as a result, Defendants’ positive statements about the Company’s business, operations and prospects misled investors. Plaintiff seeks, among other things, an undetermined amount of money damages. The Company believes, after consulting legal counsel, the lawsuit to be without merit. On February 18, 2020, a motion to dismiss was filed with the court. On April 20, 2020, plaintiff filed an opposition to the Company’s motion to dismiss.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b w:val="1"/>
          <w:bCs w:val="1"/>
          <w:u w:val="single" w:color="auto"/>
          <w:color w:val="auto"/>
        </w:rPr>
        <w:t>Risk Factors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-7620</wp:posOffset>
            </wp:positionV>
            <wp:extent cx="266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670" cy="8255"/>
                    </a:xfrm>
                    <a:prstGeom prst="rect">
                      <a:avLst/>
                    </a:prstGeom>
                    <a:noFill/>
                  </pic:spPr>
                </pic:pic>
              </a:graphicData>
            </a:graphic>
          </wp:anchor>
        </w:drawing>
      </w:r>
    </w:p>
    <w:p>
      <w:pPr>
        <w:spacing w:after="0" w:line="207" w:lineRule="exact"/>
        <w:rPr>
          <w:sz w:val="20"/>
          <w:szCs w:val="20"/>
          <w:color w:val="auto"/>
        </w:rPr>
      </w:pPr>
    </w:p>
    <w:p>
      <w:pPr>
        <w:jc w:val="both"/>
        <w:ind w:firstLine="627"/>
        <w:spacing w:after="0" w:line="310" w:lineRule="auto"/>
        <w:rPr>
          <w:sz w:val="20"/>
          <w:szCs w:val="20"/>
          <w:color w:val="auto"/>
        </w:rPr>
      </w:pPr>
      <w:r>
        <w:rPr>
          <w:rFonts w:ascii="Arial" w:cs="Arial" w:eastAsia="Arial" w:hAnsi="Arial"/>
          <w:sz w:val="15"/>
          <w:szCs w:val="15"/>
          <w:color w:val="auto"/>
        </w:rPr>
        <w:t>For a discussion of the Company’s potential risks and uncertainties, see Part I, Item 1A— “Risk Factors” and Part II, Item 7—“Management’s Discussion and Analysis of Financial Condition and Results of Operations” in the Company’s 2019 Annual Report filed with the SEC, and Part I, Item 2—“Management’s Discussion and Analysis of Financial Condition and Results of Operations” herein, in each case as updated by the Company's periodic filings with the SEC. Other than as described below, there have been no material changes to the risk factors disclosed in Part I, Item 1A of the Company’s 2019 Annual Report.</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impact of COVID-19 and related risks could materially affect our results of operations, financial position and/or liquidity.</w:t>
      </w:r>
    </w:p>
    <w:p>
      <w:pPr>
        <w:spacing w:after="0" w:line="227" w:lineRule="exact"/>
        <w:rPr>
          <w:sz w:val="20"/>
          <w:szCs w:val="20"/>
          <w:color w:val="auto"/>
        </w:rPr>
      </w:pPr>
    </w:p>
    <w:p>
      <w:pPr>
        <w:jc w:val="both"/>
        <w:ind w:firstLine="627"/>
        <w:spacing w:after="0" w:line="268" w:lineRule="auto"/>
        <w:rPr>
          <w:sz w:val="20"/>
          <w:szCs w:val="20"/>
          <w:color w:val="auto"/>
        </w:rPr>
      </w:pPr>
      <w:r>
        <w:rPr>
          <w:rFonts w:ascii="Arial" w:cs="Arial" w:eastAsia="Arial" w:hAnsi="Arial"/>
          <w:sz w:val="17"/>
          <w:szCs w:val="17"/>
          <w:color w:val="auto"/>
        </w:rPr>
        <w:t>Beginning in March 2020, the global pandemic related to the novel coronavirus COVID-19 began to impact the global economy and our results of operations. Because of the size and breadth of this pandemic, all of the direct and indirect consequences of COVID-19 are not yet known and may not emerge for some time. Risks presented by the ongoing effects of COVID-19 include, among others, the following:</w:t>
      </w:r>
    </w:p>
    <w:p>
      <w:pPr>
        <w:spacing w:after="0" w:line="182" w:lineRule="exact"/>
        <w:rPr>
          <w:sz w:val="20"/>
          <w:szCs w:val="20"/>
          <w:color w:val="auto"/>
        </w:rPr>
      </w:pPr>
    </w:p>
    <w:p>
      <w:pPr>
        <w:jc w:val="both"/>
        <w:ind w:firstLine="627"/>
        <w:spacing w:after="0" w:line="320" w:lineRule="auto"/>
        <w:rPr>
          <w:sz w:val="20"/>
          <w:szCs w:val="20"/>
          <w:color w:val="auto"/>
        </w:rPr>
      </w:pPr>
      <w:r>
        <w:rPr>
          <w:rFonts w:ascii="Arial" w:cs="Arial" w:eastAsia="Arial" w:hAnsi="Arial"/>
          <w:sz w:val="15"/>
          <w:szCs w:val="15"/>
          <w:i w:val="1"/>
          <w:iCs w:val="1"/>
          <w:u w:val="single" w:color="auto"/>
          <w:color w:val="auto"/>
        </w:rPr>
        <w:t>Revenues.</w:t>
      </w:r>
      <w:r>
        <w:rPr>
          <w:rFonts w:ascii="Arial" w:cs="Arial" w:eastAsia="Arial" w:hAnsi="Arial"/>
          <w:sz w:val="15"/>
          <w:szCs w:val="15"/>
          <w:i w:val="1"/>
          <w:iCs w:val="1"/>
          <w:color w:val="auto"/>
        </w:rPr>
        <w:t xml:space="preserve"> </w:t>
      </w:r>
      <w:r>
        <w:rPr>
          <w:rFonts w:ascii="Arial" w:cs="Arial" w:eastAsia="Arial" w:hAnsi="Arial"/>
          <w:sz w:val="15"/>
          <w:szCs w:val="15"/>
          <w:color w:val="auto"/>
        </w:rPr>
        <w:t>We expect that the impact of COVID-19 on general economic activity will negatively impact our premium volumes. We began to experience this</w:t>
      </w:r>
      <w:r>
        <w:rPr>
          <w:rFonts w:ascii="Arial" w:cs="Arial" w:eastAsia="Arial" w:hAnsi="Arial"/>
          <w:sz w:val="15"/>
          <w:szCs w:val="15"/>
          <w:i w:val="1"/>
          <w:iCs w:val="1"/>
          <w:color w:val="auto"/>
        </w:rPr>
        <w:t xml:space="preserve"> </w:t>
      </w:r>
      <w:r>
        <w:rPr>
          <w:rFonts w:ascii="Arial" w:cs="Arial" w:eastAsia="Arial" w:hAnsi="Arial"/>
          <w:sz w:val="15"/>
          <w:szCs w:val="15"/>
          <w:color w:val="auto"/>
        </w:rPr>
        <w:t>impact in March 2020 and expect it to persist and be more significant in the second quarter of 2020. We also expect this impact will further persist but to a lesser extent for the remainder of 2020, but the degree of the impact will depend on the extent and duration of the economic contraction and could be material.</w:t>
      </w:r>
    </w:p>
    <w:p>
      <w:pPr>
        <w:spacing w:after="0" w:line="146" w:lineRule="exact"/>
        <w:rPr>
          <w:sz w:val="20"/>
          <w:szCs w:val="20"/>
          <w:color w:val="auto"/>
        </w:rPr>
      </w:pPr>
    </w:p>
    <w:p>
      <w:pPr>
        <w:jc w:val="both"/>
        <w:ind w:firstLine="627"/>
        <w:spacing w:after="0" w:line="300" w:lineRule="auto"/>
        <w:rPr>
          <w:sz w:val="20"/>
          <w:szCs w:val="20"/>
          <w:color w:val="auto"/>
        </w:rPr>
      </w:pPr>
      <w:r>
        <w:rPr>
          <w:rFonts w:ascii="Arial" w:cs="Arial" w:eastAsia="Arial" w:hAnsi="Arial"/>
          <w:sz w:val="15"/>
          <w:szCs w:val="15"/>
          <w:i w:val="1"/>
          <w:iCs w:val="1"/>
          <w:u w:val="single" w:color="auto"/>
          <w:color w:val="auto"/>
        </w:rPr>
        <w:t>Investments.</w:t>
      </w:r>
      <w:r>
        <w:rPr>
          <w:rFonts w:ascii="Arial" w:cs="Arial" w:eastAsia="Arial" w:hAnsi="Arial"/>
          <w:sz w:val="15"/>
          <w:szCs w:val="15"/>
          <w:i w:val="1"/>
          <w:iCs w:val="1"/>
          <w:color w:val="auto"/>
        </w:rPr>
        <w:t xml:space="preserve"> </w:t>
      </w:r>
      <w:r>
        <w:rPr>
          <w:rFonts w:ascii="Arial" w:cs="Arial" w:eastAsia="Arial" w:hAnsi="Arial"/>
          <w:sz w:val="15"/>
          <w:szCs w:val="15"/>
          <w:color w:val="auto"/>
        </w:rPr>
        <w:t>The disruption in the financial markets related to COVID-19 has contributed to net realized investment losses, primarily due to the impact of</w:t>
      </w:r>
      <w:r>
        <w:rPr>
          <w:rFonts w:ascii="Arial" w:cs="Arial" w:eastAsia="Arial" w:hAnsi="Arial"/>
          <w:sz w:val="15"/>
          <w:szCs w:val="15"/>
          <w:i w:val="1"/>
          <w:iCs w:val="1"/>
          <w:color w:val="auto"/>
        </w:rPr>
        <w:t xml:space="preserve"> </w:t>
      </w:r>
      <w:r>
        <w:rPr>
          <w:rFonts w:ascii="Arial" w:cs="Arial" w:eastAsia="Arial" w:hAnsi="Arial"/>
          <w:sz w:val="15"/>
          <w:szCs w:val="15"/>
          <w:color w:val="auto"/>
        </w:rPr>
        <w:t>changes in fair value on our equity investments and in our fixed-income investment portfolio. Our corporate fixed income portfolio may be adversely impacted by ratings downgrades, increased bankruptcies and credit spread widening in distressed industries. In addition, in recent years, many state and local governments have been operating under deficits or projected deficits. These deficits may be exacerbated by the costs of responding to COVID-19 and reduced tax revenues due to adverse economic conditions. The severity and duration of these deficits could have an adverse impact on the collectability and valuation of our municipal bond portfolio. Our investment portfolio also includes mortgage-backed securities which could be adversely impacted by declines in real estate valuations and/or financial market disruption. Further disruptions in global financial markets could adversely impact our net investment income in future periods.</w:t>
      </w:r>
    </w:p>
    <w:p>
      <w:pPr>
        <w:spacing w:after="0" w:line="164" w:lineRule="exact"/>
        <w:rPr>
          <w:sz w:val="20"/>
          <w:szCs w:val="20"/>
          <w:color w:val="auto"/>
        </w:rPr>
      </w:pPr>
    </w:p>
    <w:p>
      <w:pPr>
        <w:jc w:val="both"/>
        <w:ind w:firstLine="627"/>
        <w:spacing w:after="0" w:line="261" w:lineRule="auto"/>
        <w:rPr>
          <w:sz w:val="20"/>
          <w:szCs w:val="20"/>
          <w:color w:val="auto"/>
        </w:rPr>
      </w:pPr>
      <w:r>
        <w:rPr>
          <w:rFonts w:ascii="Arial" w:cs="Arial" w:eastAsia="Arial" w:hAnsi="Arial"/>
          <w:sz w:val="17"/>
          <w:szCs w:val="17"/>
          <w:i w:val="1"/>
          <w:iCs w:val="1"/>
          <w:u w:val="single" w:color="auto"/>
          <w:color w:val="auto"/>
        </w:rPr>
        <w:t>Adverse Legislative and/or Regulatory Action.</w:t>
      </w:r>
      <w:r>
        <w:rPr>
          <w:rFonts w:ascii="Arial" w:cs="Arial" w:eastAsia="Arial" w:hAnsi="Arial"/>
          <w:sz w:val="17"/>
          <w:szCs w:val="17"/>
          <w:i w:val="1"/>
          <w:iCs w:val="1"/>
          <w:color w:val="auto"/>
        </w:rPr>
        <w:t xml:space="preserve"> </w:t>
      </w:r>
      <w:r>
        <w:rPr>
          <w:rFonts w:ascii="Arial" w:cs="Arial" w:eastAsia="Arial" w:hAnsi="Arial"/>
          <w:sz w:val="17"/>
          <w:szCs w:val="17"/>
          <w:color w:val="auto"/>
        </w:rPr>
        <w:t>Federal, state and local government actions to address and contain the impact of COVID-19 may adversely</w:t>
      </w:r>
      <w:r>
        <w:rPr>
          <w:rFonts w:ascii="Arial" w:cs="Arial" w:eastAsia="Arial" w:hAnsi="Arial"/>
          <w:sz w:val="17"/>
          <w:szCs w:val="17"/>
          <w:i w:val="1"/>
          <w:iCs w:val="1"/>
          <w:color w:val="auto"/>
        </w:rPr>
        <w:t xml:space="preserve"> </w:t>
      </w:r>
      <w:r>
        <w:rPr>
          <w:rFonts w:ascii="Arial" w:cs="Arial" w:eastAsia="Arial" w:hAnsi="Arial"/>
          <w:sz w:val="17"/>
          <w:szCs w:val="17"/>
          <w:color w:val="auto"/>
        </w:rPr>
        <w:t>affect us. For example, we may be subject to legislative and/or regulatory action that seeks to retroactively mandate coverage for losses which our insurance policies were not designed or priced to cover. Currently, in some states there is proposed legislation to require insurers to cover business interruption claims irrespective of terms, exclusions or other conditions included in the policies that would otherwise preclude coverage. Regulatory restrictions or requirements could also impact pricing, risk selection and our rights and obligations with respect to our policies and insureds, including our ability to cancel or non-renew policies and our right to collect premiums.</w:t>
      </w:r>
    </w:p>
    <w:p>
      <w:pPr>
        <w:spacing w:after="0" w:line="188" w:lineRule="exact"/>
        <w:rPr>
          <w:sz w:val="20"/>
          <w:szCs w:val="20"/>
          <w:color w:val="auto"/>
        </w:rPr>
      </w:pPr>
    </w:p>
    <w:p>
      <w:pPr>
        <w:jc w:val="both"/>
        <w:ind w:firstLine="627"/>
        <w:spacing w:after="0" w:line="305" w:lineRule="auto"/>
        <w:rPr>
          <w:sz w:val="20"/>
          <w:szCs w:val="20"/>
          <w:color w:val="auto"/>
        </w:rPr>
      </w:pPr>
      <w:r>
        <w:rPr>
          <w:rFonts w:ascii="Arial" w:cs="Arial" w:eastAsia="Arial" w:hAnsi="Arial"/>
          <w:sz w:val="15"/>
          <w:szCs w:val="15"/>
          <w:i w:val="1"/>
          <w:iCs w:val="1"/>
          <w:u w:val="single" w:color="auto"/>
          <w:color w:val="auto"/>
        </w:rPr>
        <w:t>Operational Disruptions and Heightened Cybersecurity Risks.</w:t>
      </w:r>
      <w:r>
        <w:rPr>
          <w:rFonts w:ascii="Arial" w:cs="Arial" w:eastAsia="Arial" w:hAnsi="Arial"/>
          <w:sz w:val="15"/>
          <w:szCs w:val="15"/>
          <w:i w:val="1"/>
          <w:iCs w:val="1"/>
          <w:color w:val="auto"/>
        </w:rPr>
        <w:t xml:space="preserve"> </w:t>
      </w:r>
      <w:r>
        <w:rPr>
          <w:rFonts w:ascii="Arial" w:cs="Arial" w:eastAsia="Arial" w:hAnsi="Arial"/>
          <w:sz w:val="15"/>
          <w:szCs w:val="15"/>
          <w:color w:val="auto"/>
        </w:rPr>
        <w:t>Our operations could be disrupted if key members of our senior management or a significant</w:t>
      </w:r>
      <w:r>
        <w:rPr>
          <w:rFonts w:ascii="Arial" w:cs="Arial" w:eastAsia="Arial" w:hAnsi="Arial"/>
          <w:sz w:val="15"/>
          <w:szCs w:val="15"/>
          <w:i w:val="1"/>
          <w:iCs w:val="1"/>
          <w:color w:val="auto"/>
        </w:rPr>
        <w:t xml:space="preserve"> </w:t>
      </w:r>
      <w:r>
        <w:rPr>
          <w:rFonts w:ascii="Arial" w:cs="Arial" w:eastAsia="Arial" w:hAnsi="Arial"/>
          <w:sz w:val="15"/>
          <w:szCs w:val="15"/>
          <w:color w:val="auto"/>
        </w:rPr>
        <w:t>percentage of our workforce or the workforce of our producers are unable to continue to work because of illness, government directives or otherwise. In addition, the interruption of our or their system capabilities could result in a deterioration of our ability to write and process new and renewal business, provide customer service, pay claims in a timely manner or perform other necessary business functions. Having shifted to remote working arrangements, we also face a heightened risk of cybersecurity attacks or data security incidents and are more dependent on internet and telecommunications access and capabilities.</w:t>
      </w:r>
    </w:p>
    <w:p>
      <w:pPr>
        <w:spacing w:after="0" w:line="159" w:lineRule="exact"/>
        <w:rPr>
          <w:sz w:val="20"/>
          <w:szCs w:val="20"/>
          <w:color w:val="auto"/>
        </w:rPr>
      </w:pPr>
    </w:p>
    <w:p>
      <w:pPr>
        <w:ind w:right="20" w:firstLine="627"/>
        <w:spacing w:after="0" w:line="297" w:lineRule="auto"/>
        <w:rPr>
          <w:sz w:val="20"/>
          <w:szCs w:val="20"/>
          <w:color w:val="auto"/>
        </w:rPr>
      </w:pPr>
      <w:r>
        <w:rPr>
          <w:rFonts w:ascii="Arial" w:cs="Arial" w:eastAsia="Arial" w:hAnsi="Arial"/>
          <w:sz w:val="15"/>
          <w:szCs w:val="15"/>
          <w:i w:val="1"/>
          <w:iCs w:val="1"/>
          <w:u w:val="single" w:color="auto"/>
          <w:color w:val="auto"/>
        </w:rPr>
        <w:t>Reinsurance Risks.</w:t>
      </w:r>
      <w:r>
        <w:rPr>
          <w:rFonts w:ascii="Arial" w:cs="Arial" w:eastAsia="Arial" w:hAnsi="Arial"/>
          <w:sz w:val="15"/>
          <w:szCs w:val="15"/>
          <w:i w:val="1"/>
          <w:iCs w:val="1"/>
          <w:color w:val="auto"/>
        </w:rPr>
        <w:t xml:space="preserve"> </w:t>
      </w:r>
      <w:r>
        <w:rPr>
          <w:rFonts w:ascii="Arial" w:cs="Arial" w:eastAsia="Arial" w:hAnsi="Arial"/>
          <w:sz w:val="15"/>
          <w:szCs w:val="15"/>
          <w:color w:val="auto"/>
        </w:rPr>
        <w:t>We purchase reinsurance to reduce our net liability on individual risks, to protect against possible catastrophes, to remain within a target</w:t>
      </w:r>
      <w:r>
        <w:rPr>
          <w:rFonts w:ascii="Arial" w:cs="Arial" w:eastAsia="Arial" w:hAnsi="Arial"/>
          <w:sz w:val="15"/>
          <w:szCs w:val="15"/>
          <w:i w:val="1"/>
          <w:iCs w:val="1"/>
          <w:color w:val="auto"/>
        </w:rPr>
        <w:t xml:space="preserve"> </w:t>
      </w:r>
      <w:r>
        <w:rPr>
          <w:rFonts w:ascii="Arial" w:cs="Arial" w:eastAsia="Arial" w:hAnsi="Arial"/>
          <w:sz w:val="15"/>
          <w:szCs w:val="15"/>
          <w:color w:val="auto"/>
        </w:rPr>
        <w:t>ratio of net premiums written to policyholders’ surplus and to expand our underwriting capacity. Participation in reinsurance arrangements does not relieve us from our obligations to policyholders. Our personal lines catastrophe reinsurance program was designed, utilizing our risk management methodology, to address our exposure to catastrophes. Market conditions beyond our control, including the effect of COVID-19 on the reinsurance market, impact the availability and cost of the reinsurance we purchase. No assurances can be given that reinsurance will remain continuously available to us to the same extent and on thesame terms and rates as currently available. For example, our ability to afford reinsurance to reduce our catastrophe risk may be dependent upon our ability to adjust premium rates for its cost, and there are no assurances that the terms and rates for ourcurrent reinsurance program will continue to be available in the future. If we are unable to maintain our current level of reinsurance or purchase new reinsurance protection in amounts that we consider sufficient and at prices that we consider acceptable,we will have to either accept an increase in our exposure risk, reduce our insurance writings or seek other alternatives. Our ability to maintain our financial strength rating from A.M. Best depends, in part, on our ability to purchase a sufficient level of catastrophe reinsurance.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64" w:name="page65"/>
    <w:bookmarkEnd w:id="64"/>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u w:val="single" w:color="auto"/>
          <w:color w:val="auto"/>
        </w:rPr>
        <w:t>Unregistered Sales of Equity Securities and Use of Proceeds</w:t>
      </w:r>
      <w:r>
        <w:rPr>
          <w:rFonts w:ascii="Arial" w:cs="Arial" w:eastAsia="Arial" w:hAnsi="Arial"/>
          <w:sz w:val="17"/>
          <w:szCs w:val="17"/>
          <w:color w:val="auto"/>
        </w:rPr>
        <w:t>.</w:t>
      </w:r>
    </w:p>
    <w:p>
      <w:pPr>
        <w:spacing w:after="0" w:line="161" w:lineRule="exact"/>
        <w:rPr>
          <w:sz w:val="20"/>
          <w:szCs w:val="20"/>
          <w:color w:val="auto"/>
        </w:rPr>
      </w:pPr>
    </w:p>
    <w:p>
      <w:pPr>
        <w:ind w:left="900" w:hanging="268"/>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None.</w:t>
      </w:r>
    </w:p>
    <w:p>
      <w:pPr>
        <w:spacing w:after="0" w:line="222" w:lineRule="exact"/>
        <w:rPr>
          <w:rFonts w:ascii="Arial" w:cs="Arial" w:eastAsia="Arial" w:hAnsi="Arial"/>
          <w:sz w:val="17"/>
          <w:szCs w:val="17"/>
          <w:color w:val="auto"/>
        </w:rPr>
      </w:pPr>
    </w:p>
    <w:p>
      <w:pPr>
        <w:ind w:left="920" w:hanging="288"/>
        <w:spacing w:after="0"/>
        <w:tabs>
          <w:tab w:leader="none" w:pos="9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Not applicable.</w:t>
      </w:r>
    </w:p>
    <w:p>
      <w:pPr>
        <w:spacing w:after="0" w:line="222" w:lineRule="exact"/>
        <w:rPr>
          <w:rFonts w:ascii="Arial" w:cs="Arial" w:eastAsia="Arial" w:hAnsi="Arial"/>
          <w:sz w:val="17"/>
          <w:szCs w:val="17"/>
          <w:color w:val="auto"/>
        </w:rPr>
      </w:pPr>
    </w:p>
    <w:p>
      <w:pPr>
        <w:ind w:left="860" w:hanging="228"/>
        <w:spacing w:after="0"/>
        <w:tabs>
          <w:tab w:leader="none" w:pos="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following table sets forth certain information with respect to purchases of common stock made by us during the quarter ended March 31, 2020: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260" w:type="dxa"/>
            <w:vAlign w:val="bottom"/>
          </w:tcPr>
          <w:p>
            <w:pPr>
              <w:spacing w:after="0"/>
              <w:rPr>
                <w:sz w:val="14"/>
                <w:szCs w:val="14"/>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Maximum</w:t>
            </w:r>
          </w:p>
        </w:tc>
        <w:tc>
          <w:tcPr>
            <w:tcW w:w="0" w:type="dxa"/>
            <w:vAlign w:val="bottom"/>
          </w:tcPr>
          <w:p>
            <w:pPr>
              <w:spacing w:after="0"/>
              <w:rPr>
                <w:sz w:val="1"/>
                <w:szCs w:val="1"/>
                <w:color w:val="auto"/>
              </w:rPr>
            </w:pPr>
          </w:p>
        </w:tc>
      </w:tr>
      <w:tr>
        <w:trPr>
          <w:trHeight w:val="157"/>
        </w:trPr>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3"/>
                <w:szCs w:val="13"/>
                <w:color w:val="auto"/>
              </w:rPr>
            </w:pPr>
          </w:p>
        </w:tc>
        <w:tc>
          <w:tcPr>
            <w:tcW w:w="1220" w:type="dxa"/>
            <w:vAlign w:val="bottom"/>
            <w:gridSpan w:val="2"/>
          </w:tcPr>
          <w:p>
            <w:pPr>
              <w:jc w:val="center"/>
              <w:ind w:right="120"/>
              <w:spacing w:after="0" w:line="157"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57"/>
        </w:trPr>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9"/>
              </w:rPr>
              <w:t>Total</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7"/>
              </w:rPr>
              <w:t>Purchased as</w:t>
            </w:r>
          </w:p>
        </w:tc>
        <w:tc>
          <w:tcPr>
            <w:tcW w:w="260" w:type="dxa"/>
            <w:vAlign w:val="bottom"/>
          </w:tcPr>
          <w:p>
            <w:pPr>
              <w:spacing w:after="0"/>
              <w:rPr>
                <w:sz w:val="13"/>
                <w:szCs w:val="13"/>
                <w:color w:val="auto"/>
              </w:rPr>
            </w:pPr>
          </w:p>
        </w:tc>
        <w:tc>
          <w:tcPr>
            <w:tcW w:w="1220" w:type="dxa"/>
            <w:vAlign w:val="bottom"/>
            <w:gridSpan w:val="2"/>
          </w:tcPr>
          <w:p>
            <w:pPr>
              <w:jc w:val="center"/>
              <w:ind w:right="120"/>
              <w:spacing w:after="0" w:line="157" w:lineRule="exact"/>
              <w:rPr>
                <w:sz w:val="20"/>
                <w:szCs w:val="20"/>
                <w:color w:val="auto"/>
              </w:rPr>
            </w:pPr>
            <w:r>
              <w:rPr>
                <w:rFonts w:ascii="Arial" w:cs="Arial" w:eastAsia="Arial" w:hAnsi="Arial"/>
                <w:sz w:val="14"/>
                <w:szCs w:val="14"/>
                <w:b w:val="1"/>
                <w:bCs w:val="1"/>
                <w:color w:val="auto"/>
                <w:w w:val="94"/>
              </w:rPr>
              <w:t>Shares that May</w:t>
            </w:r>
          </w:p>
        </w:tc>
        <w:tc>
          <w:tcPr>
            <w:tcW w:w="0" w:type="dxa"/>
            <w:vAlign w:val="bottom"/>
          </w:tcPr>
          <w:p>
            <w:pPr>
              <w:spacing w:after="0"/>
              <w:rPr>
                <w:sz w:val="1"/>
                <w:szCs w:val="1"/>
                <w:color w:val="auto"/>
              </w:rPr>
            </w:pPr>
          </w:p>
        </w:tc>
      </w:tr>
      <w:tr>
        <w:trPr>
          <w:trHeight w:val="157"/>
        </w:trPr>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101"/>
              <w:spacing w:after="0" w:line="157"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3"/>
                <w:szCs w:val="13"/>
                <w:color w:val="auto"/>
              </w:rPr>
            </w:pPr>
          </w:p>
        </w:tc>
        <w:tc>
          <w:tcPr>
            <w:tcW w:w="10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4"/>
              </w:rPr>
              <w:t>Part of Publicly</w:t>
            </w:r>
          </w:p>
        </w:tc>
        <w:tc>
          <w:tcPr>
            <w:tcW w:w="260" w:type="dxa"/>
            <w:vAlign w:val="bottom"/>
          </w:tcPr>
          <w:p>
            <w:pPr>
              <w:spacing w:after="0"/>
              <w:rPr>
                <w:sz w:val="13"/>
                <w:szCs w:val="13"/>
                <w:color w:val="auto"/>
              </w:rPr>
            </w:pPr>
          </w:p>
        </w:tc>
        <w:tc>
          <w:tcPr>
            <w:tcW w:w="1220" w:type="dxa"/>
            <w:vAlign w:val="bottom"/>
            <w:gridSpan w:val="2"/>
          </w:tcPr>
          <w:p>
            <w:pPr>
              <w:jc w:val="center"/>
              <w:ind w:right="100"/>
              <w:spacing w:after="0" w:line="157"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57"/>
        </w:trPr>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41"/>
              <w:spacing w:after="0" w:line="157" w:lineRule="exact"/>
              <w:rPr>
                <w:sz w:val="20"/>
                <w:szCs w:val="20"/>
                <w:color w:val="auto"/>
              </w:rPr>
            </w:pPr>
            <w:r>
              <w:rPr>
                <w:rFonts w:ascii="Arial" w:cs="Arial" w:eastAsia="Arial" w:hAnsi="Arial"/>
                <w:sz w:val="14"/>
                <w:szCs w:val="14"/>
                <w:b w:val="1"/>
                <w:bCs w:val="1"/>
                <w:color w:val="auto"/>
                <w:w w:val="94"/>
              </w:rPr>
              <w:t>Price Paid</w:t>
            </w:r>
          </w:p>
        </w:tc>
        <w:tc>
          <w:tcPr>
            <w:tcW w:w="260" w:type="dxa"/>
            <w:vAlign w:val="bottom"/>
          </w:tcPr>
          <w:p>
            <w:pPr>
              <w:spacing w:after="0"/>
              <w:rPr>
                <w:sz w:val="13"/>
                <w:szCs w:val="13"/>
                <w:color w:val="auto"/>
              </w:rPr>
            </w:pPr>
          </w:p>
        </w:tc>
        <w:tc>
          <w:tcPr>
            <w:tcW w:w="108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1"/>
              </w:rPr>
              <w:t>Announced Plans</w:t>
            </w:r>
          </w:p>
        </w:tc>
        <w:tc>
          <w:tcPr>
            <w:tcW w:w="260" w:type="dxa"/>
            <w:vAlign w:val="bottom"/>
          </w:tcPr>
          <w:p>
            <w:pPr>
              <w:spacing w:after="0"/>
              <w:rPr>
                <w:sz w:val="13"/>
                <w:szCs w:val="13"/>
                <w:color w:val="auto"/>
              </w:rPr>
            </w:pPr>
          </w:p>
        </w:tc>
        <w:tc>
          <w:tcPr>
            <w:tcW w:w="1220" w:type="dxa"/>
            <w:vAlign w:val="bottom"/>
            <w:gridSpan w:val="2"/>
          </w:tcPr>
          <w:p>
            <w:pPr>
              <w:jc w:val="center"/>
              <w:ind w:right="120"/>
              <w:spacing w:after="0" w:line="157" w:lineRule="exact"/>
              <w:rPr>
                <w:sz w:val="20"/>
                <w:szCs w:val="20"/>
                <w:color w:val="auto"/>
              </w:rPr>
            </w:pPr>
            <w:r>
              <w:rPr>
                <w:rFonts w:ascii="Arial" w:cs="Arial" w:eastAsia="Arial" w:hAnsi="Arial"/>
                <w:sz w:val="14"/>
                <w:szCs w:val="14"/>
                <w:b w:val="1"/>
                <w:bCs w:val="1"/>
                <w:color w:val="auto"/>
                <w:w w:val="91"/>
              </w:rPr>
              <w:t>Under the Plans</w:t>
            </w:r>
          </w:p>
        </w:tc>
        <w:tc>
          <w:tcPr>
            <w:tcW w:w="0" w:type="dxa"/>
            <w:vAlign w:val="bottom"/>
          </w:tcPr>
          <w:p>
            <w:pPr>
              <w:spacing w:after="0"/>
              <w:rPr>
                <w:sz w:val="1"/>
                <w:szCs w:val="1"/>
                <w:color w:val="auto"/>
              </w:rPr>
            </w:pPr>
          </w:p>
        </w:tc>
      </w:tr>
      <w:tr>
        <w:trPr>
          <w:trHeight w:val="176"/>
        </w:trPr>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580" w:type="dxa"/>
            <w:vAlign w:val="bottom"/>
            <w:gridSpan w:val="2"/>
          </w:tcPr>
          <w:p>
            <w:pPr>
              <w:ind w:left="440"/>
              <w:spacing w:after="0"/>
              <w:rPr>
                <w:sz w:val="20"/>
                <w:szCs w:val="20"/>
                <w:color w:val="auto"/>
              </w:rPr>
            </w:pPr>
            <w:r>
              <w:rPr>
                <w:rFonts w:ascii="Arial" w:cs="Arial" w:eastAsia="Arial" w:hAnsi="Arial"/>
                <w:sz w:val="14"/>
                <w:szCs w:val="14"/>
                <w:b w:val="1"/>
                <w:bCs w:val="1"/>
                <w:color w:val="auto"/>
              </w:rPr>
              <w:t>Period</w:t>
            </w:r>
          </w:p>
        </w:tc>
        <w:tc>
          <w:tcPr>
            <w:tcW w:w="1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2"/>
              </w:rPr>
              <w:t>Purchased(1)</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center"/>
              <w:ind w:right="81"/>
              <w:spacing w:after="0"/>
              <w:rPr>
                <w:sz w:val="20"/>
                <w:szCs w:val="20"/>
                <w:color w:val="auto"/>
              </w:rPr>
            </w:pPr>
            <w:r>
              <w:rPr>
                <w:rFonts w:ascii="Arial" w:cs="Arial" w:eastAsia="Arial" w:hAnsi="Arial"/>
                <w:sz w:val="14"/>
                <w:szCs w:val="14"/>
                <w:b w:val="1"/>
                <w:bCs w:val="1"/>
                <w:color w:val="auto"/>
                <w:w w:val="92"/>
              </w:rPr>
              <w:t>per Share</w:t>
            </w:r>
          </w:p>
        </w:tc>
        <w:tc>
          <w:tcPr>
            <w:tcW w:w="26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or Programs</w:t>
            </w:r>
          </w:p>
        </w:tc>
        <w:tc>
          <w:tcPr>
            <w:tcW w:w="260" w:type="dxa"/>
            <w:vAlign w:val="bottom"/>
          </w:tcPr>
          <w:p>
            <w:pPr>
              <w:spacing w:after="0"/>
              <w:rPr>
                <w:sz w:val="15"/>
                <w:szCs w:val="15"/>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or Programs</w:t>
            </w:r>
          </w:p>
        </w:tc>
        <w:tc>
          <w:tcPr>
            <w:tcW w:w="0" w:type="dxa"/>
            <w:vAlign w:val="bottom"/>
          </w:tcPr>
          <w:p>
            <w:pPr>
              <w:spacing w:after="0"/>
              <w:rPr>
                <w:sz w:val="1"/>
                <w:szCs w:val="1"/>
                <w:color w:val="auto"/>
              </w:rPr>
            </w:pPr>
          </w:p>
        </w:tc>
      </w:tr>
      <w:tr>
        <w:trPr>
          <w:trHeight w:val="235"/>
        </w:trPr>
        <w:tc>
          <w:tcPr>
            <w:tcW w:w="5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3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1/1/20 – 1/31/20</w:t>
            </w: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gridSpan w:val="3"/>
          </w:tcPr>
          <w:p>
            <w:pPr>
              <w:spacing w:after="0"/>
              <w:rPr>
                <w:sz w:val="20"/>
                <w:szCs w:val="20"/>
                <w:color w:val="auto"/>
              </w:rPr>
            </w:pPr>
            <w:r>
              <w:rPr>
                <w:rFonts w:ascii="Arial" w:cs="Arial" w:eastAsia="Arial" w:hAnsi="Arial"/>
                <w:sz w:val="17"/>
                <w:szCs w:val="17"/>
                <w:color w:val="auto"/>
              </w:rPr>
              <w:t>2/1/20 – 2/29/20</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2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3/1/20 – 3/31/20</w:t>
            </w:r>
          </w:p>
        </w:tc>
        <w:tc>
          <w:tcPr>
            <w:tcW w:w="6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3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42,434</w:t>
            </w:r>
          </w:p>
        </w:tc>
        <w:tc>
          <w:tcPr>
            <w:tcW w:w="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5.66</w:t>
            </w:r>
          </w:p>
        </w:tc>
        <w:tc>
          <w:tcPr>
            <w:tcW w:w="2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gridSpan w:val="3"/>
          </w:tcPr>
          <w:p>
            <w:pPr>
              <w:spacing w:after="0"/>
              <w:rPr>
                <w:sz w:val="20"/>
                <w:szCs w:val="20"/>
                <w:color w:val="auto"/>
              </w:rPr>
            </w:pPr>
            <w:r>
              <w:rPr>
                <w:rFonts w:ascii="Arial" w:cs="Arial" w:eastAsia="Arial" w:hAnsi="Arial"/>
                <w:sz w:val="17"/>
                <w:szCs w:val="17"/>
                <w:color w:val="auto"/>
              </w:rPr>
              <w:t>Total</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42,434</w:t>
            </w:r>
          </w:p>
        </w:tc>
        <w:tc>
          <w:tcPr>
            <w:tcW w:w="4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5.66</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300" w:type="dxa"/>
            <w:vAlign w:val="bottom"/>
            <w:gridSpan w:val="6"/>
            <w:vMerge w:val="restart"/>
          </w:tcPr>
          <w:p>
            <w:pPr>
              <w:ind w:left="80"/>
              <w:spacing w:after="0"/>
              <w:rPr>
                <w:sz w:val="20"/>
                <w:szCs w:val="20"/>
                <w:color w:val="auto"/>
              </w:rPr>
            </w:pPr>
            <w:r>
              <w:rPr>
                <w:rFonts w:ascii="Arial" w:cs="Arial" w:eastAsia="Arial" w:hAnsi="Arial"/>
                <w:sz w:val="17"/>
                <w:szCs w:val="17"/>
                <w:color w:val="auto"/>
              </w:rPr>
              <w:t>(1)  Purchases were made by us in open market transactions.</w:t>
            </w: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560" w:type="dxa"/>
            <w:vAlign w:val="bottom"/>
          </w:tcPr>
          <w:p>
            <w:pPr>
              <w:spacing w:after="0"/>
              <w:rPr>
                <w:sz w:val="24"/>
                <w:szCs w:val="24"/>
                <w:color w:val="auto"/>
              </w:rPr>
            </w:pPr>
          </w:p>
        </w:tc>
        <w:tc>
          <w:tcPr>
            <w:tcW w:w="5300" w:type="dxa"/>
            <w:vAlign w:val="bottom"/>
            <w:gridSpan w:val="6"/>
            <w:vMerge w:val="continue"/>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5860" w:type="dxa"/>
            <w:vAlign w:val="bottom"/>
            <w:gridSpan w:val="7"/>
          </w:tcPr>
          <w:p>
            <w:pPr>
              <w:spacing w:after="0"/>
              <w:rPr>
                <w:sz w:val="20"/>
                <w:szCs w:val="20"/>
                <w:color w:val="auto"/>
              </w:rPr>
            </w:pPr>
            <w:r>
              <w:rPr>
                <w:rFonts w:ascii="Arial" w:cs="Arial" w:eastAsia="Arial" w:hAnsi="Arial"/>
                <w:sz w:val="17"/>
                <w:szCs w:val="17"/>
                <w:b w:val="1"/>
                <w:bCs w:val="1"/>
                <w:color w:val="auto"/>
              </w:rPr>
              <w:t>Item 3. Defaults Upon Senior Securities</w:t>
            </w: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560" w:type="dxa"/>
            <w:vAlign w:val="bottom"/>
          </w:tcPr>
          <w:p>
            <w:pPr>
              <w:spacing w:after="0"/>
              <w:rPr>
                <w:sz w:val="24"/>
                <w:szCs w:val="24"/>
                <w:color w:val="auto"/>
              </w:rPr>
            </w:pPr>
          </w:p>
        </w:tc>
        <w:tc>
          <w:tcPr>
            <w:tcW w:w="720" w:type="dxa"/>
            <w:vAlign w:val="bottom"/>
            <w:tcBorders>
              <w:top w:val="single" w:sz="8" w:color="auto"/>
            </w:tcBorders>
            <w:gridSpan w:val="2"/>
          </w:tcPr>
          <w:p>
            <w:pPr>
              <w:ind w:left="80"/>
              <w:spacing w:after="0"/>
              <w:rPr>
                <w:sz w:val="20"/>
                <w:szCs w:val="20"/>
                <w:color w:val="auto"/>
              </w:rPr>
            </w:pPr>
            <w:r>
              <w:rPr>
                <w:rFonts w:ascii="Arial" w:cs="Arial" w:eastAsia="Arial" w:hAnsi="Arial"/>
                <w:sz w:val="17"/>
                <w:szCs w:val="17"/>
                <w:color w:val="auto"/>
              </w:rPr>
              <w:t>None.</w:t>
            </w:r>
          </w:p>
        </w:tc>
        <w:tc>
          <w:tcPr>
            <w:tcW w:w="6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5860" w:type="dxa"/>
            <w:vAlign w:val="bottom"/>
            <w:gridSpan w:val="7"/>
          </w:tcPr>
          <w:p>
            <w:pPr>
              <w:spacing w:after="0"/>
              <w:rPr>
                <w:sz w:val="20"/>
                <w:szCs w:val="20"/>
                <w:color w:val="auto"/>
              </w:rPr>
            </w:pPr>
            <w:r>
              <w:rPr>
                <w:rFonts w:ascii="Arial" w:cs="Arial" w:eastAsia="Arial" w:hAnsi="Arial"/>
                <w:sz w:val="17"/>
                <w:szCs w:val="17"/>
                <w:b w:val="1"/>
                <w:bCs w:val="1"/>
                <w:color w:val="auto"/>
              </w:rPr>
              <w:t>Item 4. Mine Safety Disclosures</w:t>
            </w: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560" w:type="dxa"/>
            <w:vAlign w:val="bottom"/>
          </w:tcPr>
          <w:p>
            <w:pPr>
              <w:spacing w:after="0"/>
              <w:rPr>
                <w:sz w:val="24"/>
                <w:szCs w:val="24"/>
                <w:color w:val="auto"/>
              </w:rPr>
            </w:pPr>
          </w:p>
        </w:tc>
        <w:tc>
          <w:tcPr>
            <w:tcW w:w="1720" w:type="dxa"/>
            <w:vAlign w:val="bottom"/>
            <w:tcBorders>
              <w:top w:val="single" w:sz="8" w:color="auto"/>
            </w:tcBorders>
            <w:gridSpan w:val="4"/>
          </w:tcPr>
          <w:p>
            <w:pPr>
              <w:ind w:left="80"/>
              <w:spacing w:after="0"/>
              <w:rPr>
                <w:sz w:val="20"/>
                <w:szCs w:val="20"/>
                <w:color w:val="auto"/>
              </w:rPr>
            </w:pPr>
            <w:r>
              <w:rPr>
                <w:rFonts w:ascii="Arial" w:cs="Arial" w:eastAsia="Arial" w:hAnsi="Arial"/>
                <w:sz w:val="17"/>
                <w:szCs w:val="17"/>
                <w:color w:val="auto"/>
              </w:rPr>
              <w:t>Not applicable.</w:t>
            </w:r>
          </w:p>
        </w:tc>
        <w:tc>
          <w:tcPr>
            <w:tcW w:w="358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5860" w:type="dxa"/>
            <w:vAlign w:val="bottom"/>
            <w:gridSpan w:val="7"/>
          </w:tcPr>
          <w:p>
            <w:pPr>
              <w:spacing w:after="0"/>
              <w:rPr>
                <w:sz w:val="20"/>
                <w:szCs w:val="20"/>
                <w:color w:val="auto"/>
              </w:rPr>
            </w:pPr>
            <w:r>
              <w:rPr>
                <w:rFonts w:ascii="Arial" w:cs="Arial" w:eastAsia="Arial" w:hAnsi="Arial"/>
                <w:sz w:val="17"/>
                <w:szCs w:val="17"/>
                <w:b w:val="1"/>
                <w:bCs w:val="1"/>
                <w:color w:val="auto"/>
              </w:rPr>
              <w:t>Item 5. Other Information</w:t>
            </w: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560" w:type="dxa"/>
            <w:vAlign w:val="bottom"/>
          </w:tcPr>
          <w:p>
            <w:pPr>
              <w:spacing w:after="0"/>
              <w:rPr>
                <w:sz w:val="24"/>
                <w:szCs w:val="24"/>
                <w:color w:val="auto"/>
              </w:rPr>
            </w:pPr>
          </w:p>
        </w:tc>
        <w:tc>
          <w:tcPr>
            <w:tcW w:w="720" w:type="dxa"/>
            <w:vAlign w:val="bottom"/>
            <w:tcBorders>
              <w:top w:val="single" w:sz="8" w:color="auto"/>
            </w:tcBorders>
            <w:gridSpan w:val="2"/>
          </w:tcPr>
          <w:p>
            <w:pPr>
              <w:ind w:left="80"/>
              <w:spacing w:after="0"/>
              <w:rPr>
                <w:sz w:val="20"/>
                <w:szCs w:val="20"/>
                <w:color w:val="auto"/>
              </w:rPr>
            </w:pPr>
            <w:r>
              <w:rPr>
                <w:rFonts w:ascii="Arial" w:cs="Arial" w:eastAsia="Arial" w:hAnsi="Arial"/>
                <w:sz w:val="17"/>
                <w:szCs w:val="17"/>
                <w:color w:val="auto"/>
              </w:rPr>
              <w:t>None.</w:t>
            </w:r>
          </w:p>
        </w:tc>
        <w:tc>
          <w:tcPr>
            <w:tcW w:w="6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1280" w:type="dxa"/>
            <w:vAlign w:val="bottom"/>
            <w:gridSpan w:val="3"/>
          </w:tcPr>
          <w:p>
            <w:pPr>
              <w:spacing w:after="0"/>
              <w:rPr>
                <w:sz w:val="20"/>
                <w:szCs w:val="20"/>
                <w:color w:val="auto"/>
              </w:rPr>
            </w:pPr>
            <w:r>
              <w:rPr>
                <w:rFonts w:ascii="Arial" w:cs="Arial" w:eastAsia="Arial" w:hAnsi="Arial"/>
                <w:sz w:val="17"/>
                <w:szCs w:val="17"/>
                <w:b w:val="1"/>
                <w:bCs w:val="1"/>
                <w:color w:val="auto"/>
                <w:w w:val="97"/>
              </w:rPr>
              <w:t>Item 6. Exhibits</w:t>
            </w:r>
            <w:r>
              <w:rPr>
                <w:rFonts w:ascii="Arial" w:cs="Arial" w:eastAsia="Arial" w:hAnsi="Arial"/>
                <w:sz w:val="17"/>
                <w:szCs w:val="17"/>
                <w:color w:val="auto"/>
                <w:w w:val="97"/>
              </w:rPr>
              <w:t>.</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1280" w:type="dxa"/>
            <w:vAlign w:val="bottom"/>
            <w:gridSpan w:val="3"/>
            <w:shd w:val="clear" w:color="auto" w:fill="CCEEFF"/>
          </w:tcPr>
          <w:p>
            <w:pPr>
              <w:spacing w:after="0"/>
              <w:rPr>
                <w:rFonts w:ascii="Arial" w:cs="Arial" w:eastAsia="Arial" w:hAnsi="Arial"/>
                <w:sz w:val="17"/>
                <w:szCs w:val="17"/>
                <w:u w:val="single" w:color="auto"/>
                <w:color w:val="0000EE"/>
              </w:rPr>
            </w:pPr>
            <w:hyperlink r:id="rId65">
              <w:r>
                <w:rPr>
                  <w:rFonts w:ascii="Arial" w:cs="Arial" w:eastAsia="Arial" w:hAnsi="Arial"/>
                  <w:sz w:val="17"/>
                  <w:szCs w:val="17"/>
                  <w:u w:val="single" w:color="auto"/>
                  <w:color w:val="0000EE"/>
                </w:rPr>
                <w:t>3(a)</w:t>
              </w:r>
            </w:hyperlink>
          </w:p>
        </w:tc>
        <w:tc>
          <w:tcPr>
            <w:tcW w:w="9960" w:type="dxa"/>
            <w:vAlign w:val="bottom"/>
            <w:gridSpan w:val="14"/>
            <w:shd w:val="clear" w:color="auto" w:fill="CCEEFF"/>
          </w:tcPr>
          <w:p>
            <w:pPr>
              <w:ind w:left="80"/>
              <w:spacing w:after="0"/>
              <w:rPr>
                <w:sz w:val="20"/>
                <w:szCs w:val="20"/>
                <w:color w:val="auto"/>
              </w:rPr>
            </w:pPr>
            <w:r>
              <w:rPr>
                <w:rFonts w:ascii="Arial" w:cs="Arial" w:eastAsia="Arial" w:hAnsi="Arial"/>
                <w:sz w:val="17"/>
                <w:szCs w:val="17"/>
                <w:color w:val="auto"/>
                <w:w w:val="92"/>
              </w:rPr>
              <w:t>Restated Certificate of Incorporation, as amended (incorporated by reference to Exhibit 3(a) to the Company’s Quarterly Report on Form 10-Q</w:t>
            </w:r>
          </w:p>
        </w:tc>
        <w:tc>
          <w:tcPr>
            <w:tcW w:w="0" w:type="dxa"/>
            <w:vAlign w:val="bottom"/>
          </w:tcPr>
          <w:p>
            <w:pPr>
              <w:spacing w:after="0"/>
              <w:rPr>
                <w:sz w:val="1"/>
                <w:szCs w:val="1"/>
                <w:color w:val="auto"/>
              </w:rPr>
            </w:pPr>
          </w:p>
        </w:tc>
      </w:tr>
      <w:tr>
        <w:trPr>
          <w:trHeight w:val="218"/>
        </w:trPr>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580" w:type="dxa"/>
            <w:vAlign w:val="bottom"/>
            <w:gridSpan w:val="4"/>
            <w:shd w:val="clear" w:color="auto" w:fill="CCEEFF"/>
          </w:tcPr>
          <w:p>
            <w:pPr>
              <w:ind w:left="80"/>
              <w:spacing w:after="0"/>
              <w:rPr>
                <w:sz w:val="20"/>
                <w:szCs w:val="20"/>
                <w:color w:val="auto"/>
              </w:rPr>
            </w:pPr>
            <w:r>
              <w:rPr>
                <w:rFonts w:ascii="Arial" w:cs="Arial" w:eastAsia="Arial" w:hAnsi="Arial"/>
                <w:sz w:val="17"/>
                <w:szCs w:val="17"/>
                <w:color w:val="auto"/>
                <w:w w:val="98"/>
              </w:rPr>
              <w:t>for the period ended March 31, 2014 filed on May 15, 2014).</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12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340" w:type="dxa"/>
            <w:vAlign w:val="bottom"/>
            <w:gridSpan w:val="3"/>
          </w:tcPr>
          <w:p>
            <w:pPr>
              <w:spacing w:after="0"/>
              <w:rPr>
                <w:sz w:val="18"/>
                <w:szCs w:val="18"/>
                <w:color w:val="auto"/>
              </w:rPr>
            </w:pPr>
          </w:p>
        </w:tc>
        <w:tc>
          <w:tcPr>
            <w:tcW w:w="134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gridSpan w:val="3"/>
            <w:shd w:val="clear" w:color="auto" w:fill="CCEEFF"/>
          </w:tcPr>
          <w:p>
            <w:pPr>
              <w:spacing w:after="0"/>
              <w:rPr>
                <w:rFonts w:ascii="Arial" w:cs="Arial" w:eastAsia="Arial" w:hAnsi="Arial"/>
                <w:sz w:val="17"/>
                <w:szCs w:val="17"/>
                <w:u w:val="single" w:color="auto"/>
                <w:color w:val="0000EE"/>
              </w:rPr>
            </w:pPr>
            <w:hyperlink r:id="rId66">
              <w:r>
                <w:rPr>
                  <w:rFonts w:ascii="Arial" w:cs="Arial" w:eastAsia="Arial" w:hAnsi="Arial"/>
                  <w:sz w:val="17"/>
                  <w:szCs w:val="17"/>
                  <w:u w:val="single" w:color="auto"/>
                  <w:color w:val="0000EE"/>
                </w:rPr>
                <w:t>3(b)</w:t>
              </w:r>
            </w:hyperlink>
          </w:p>
        </w:tc>
        <w:tc>
          <w:tcPr>
            <w:tcW w:w="9960" w:type="dxa"/>
            <w:vAlign w:val="bottom"/>
            <w:gridSpan w:val="14"/>
            <w:shd w:val="clear" w:color="auto" w:fill="CCEEFF"/>
          </w:tcPr>
          <w:p>
            <w:pPr>
              <w:ind w:left="80"/>
              <w:spacing w:after="0"/>
              <w:rPr>
                <w:sz w:val="20"/>
                <w:szCs w:val="20"/>
                <w:color w:val="auto"/>
              </w:rPr>
            </w:pPr>
            <w:r>
              <w:rPr>
                <w:rFonts w:ascii="Arial" w:cs="Arial" w:eastAsia="Arial" w:hAnsi="Arial"/>
                <w:sz w:val="17"/>
                <w:szCs w:val="17"/>
                <w:color w:val="auto"/>
                <w:w w:val="95"/>
              </w:rPr>
              <w:t>By-laws, as amended (incorporated by reference to Exhibit 3.1 to the Company’s Current Report on Form 8-K filed on November 9, 2009).</w:t>
            </w:r>
          </w:p>
        </w:tc>
        <w:tc>
          <w:tcPr>
            <w:tcW w:w="0" w:type="dxa"/>
            <w:vAlign w:val="bottom"/>
          </w:tcPr>
          <w:p>
            <w:pPr>
              <w:spacing w:after="0"/>
              <w:rPr>
                <w:sz w:val="1"/>
                <w:szCs w:val="1"/>
                <w:color w:val="auto"/>
              </w:rPr>
            </w:pPr>
          </w:p>
        </w:tc>
      </w:tr>
      <w:tr>
        <w:trPr>
          <w:trHeight w:val="209"/>
        </w:trPr>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12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340" w:type="dxa"/>
            <w:vAlign w:val="bottom"/>
            <w:gridSpan w:val="3"/>
          </w:tcPr>
          <w:p>
            <w:pPr>
              <w:spacing w:after="0"/>
              <w:rPr>
                <w:sz w:val="18"/>
                <w:szCs w:val="18"/>
                <w:color w:val="auto"/>
              </w:rPr>
            </w:pPr>
          </w:p>
        </w:tc>
        <w:tc>
          <w:tcPr>
            <w:tcW w:w="134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gridSpan w:val="3"/>
            <w:shd w:val="clear" w:color="auto" w:fill="CCEEFF"/>
          </w:tcPr>
          <w:p>
            <w:pPr>
              <w:spacing w:after="0"/>
              <w:rPr>
                <w:rFonts w:ascii="Arial" w:cs="Arial" w:eastAsia="Arial" w:hAnsi="Arial"/>
                <w:sz w:val="17"/>
                <w:szCs w:val="17"/>
                <w:u w:val="single" w:color="auto"/>
                <w:color w:val="0000EE"/>
              </w:rPr>
            </w:pPr>
            <w:hyperlink w:anchor="page67">
              <w:r>
                <w:rPr>
                  <w:rFonts w:ascii="Arial" w:cs="Arial" w:eastAsia="Arial" w:hAnsi="Arial"/>
                  <w:sz w:val="17"/>
                  <w:szCs w:val="17"/>
                  <w:u w:val="single" w:color="auto"/>
                  <w:color w:val="0000EE"/>
                </w:rPr>
                <w:t>31(a)</w:t>
              </w:r>
            </w:hyperlink>
          </w:p>
        </w:tc>
        <w:tc>
          <w:tcPr>
            <w:tcW w:w="9960" w:type="dxa"/>
            <w:vAlign w:val="bottom"/>
            <w:gridSpan w:val="14"/>
            <w:shd w:val="clear" w:color="auto" w:fill="CCEEFF"/>
          </w:tcPr>
          <w:p>
            <w:pPr>
              <w:ind w:left="80"/>
              <w:spacing w:after="0"/>
              <w:rPr>
                <w:sz w:val="20"/>
                <w:szCs w:val="20"/>
                <w:color w:val="auto"/>
              </w:rPr>
            </w:pPr>
            <w:r>
              <w:rPr>
                <w:rFonts w:ascii="Arial" w:cs="Arial" w:eastAsia="Arial" w:hAnsi="Arial"/>
                <w:sz w:val="17"/>
                <w:szCs w:val="17"/>
                <w:color w:val="auto"/>
                <w:w w:val="94"/>
              </w:rPr>
              <w:t>Rule 13a-14(a)/15d-14(a) Certification of Principal Executive Officer as adopted pursuant to Section 302 of the Sarbanes-Oxley Act of 2002</w:t>
            </w:r>
          </w:p>
        </w:tc>
        <w:tc>
          <w:tcPr>
            <w:tcW w:w="0" w:type="dxa"/>
            <w:vAlign w:val="bottom"/>
          </w:tcPr>
          <w:p>
            <w:pPr>
              <w:spacing w:after="0"/>
              <w:rPr>
                <w:sz w:val="1"/>
                <w:szCs w:val="1"/>
                <w:color w:val="auto"/>
              </w:rPr>
            </w:pPr>
          </w:p>
        </w:tc>
      </w:tr>
      <w:tr>
        <w:trPr>
          <w:trHeight w:val="209"/>
        </w:trPr>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12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340" w:type="dxa"/>
            <w:vAlign w:val="bottom"/>
            <w:gridSpan w:val="3"/>
          </w:tcPr>
          <w:p>
            <w:pPr>
              <w:spacing w:after="0"/>
              <w:rPr>
                <w:sz w:val="18"/>
                <w:szCs w:val="18"/>
                <w:color w:val="auto"/>
              </w:rPr>
            </w:pPr>
          </w:p>
        </w:tc>
        <w:tc>
          <w:tcPr>
            <w:tcW w:w="134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gridSpan w:val="3"/>
            <w:shd w:val="clear" w:color="auto" w:fill="CCEEFF"/>
          </w:tcPr>
          <w:p>
            <w:pPr>
              <w:spacing w:after="0"/>
              <w:rPr>
                <w:rFonts w:ascii="Arial" w:cs="Arial" w:eastAsia="Arial" w:hAnsi="Arial"/>
                <w:sz w:val="17"/>
                <w:szCs w:val="17"/>
                <w:u w:val="single" w:color="auto"/>
                <w:color w:val="0000EE"/>
              </w:rPr>
            </w:pPr>
            <w:hyperlink w:anchor="page68">
              <w:r>
                <w:rPr>
                  <w:rFonts w:ascii="Arial" w:cs="Arial" w:eastAsia="Arial" w:hAnsi="Arial"/>
                  <w:sz w:val="17"/>
                  <w:szCs w:val="17"/>
                  <w:u w:val="single" w:color="auto"/>
                  <w:color w:val="0000EE"/>
                </w:rPr>
                <w:t>31(b)</w:t>
              </w:r>
            </w:hyperlink>
          </w:p>
        </w:tc>
        <w:tc>
          <w:tcPr>
            <w:tcW w:w="9960" w:type="dxa"/>
            <w:vAlign w:val="bottom"/>
            <w:gridSpan w:val="14"/>
            <w:shd w:val="clear" w:color="auto" w:fill="CCEEFF"/>
          </w:tcPr>
          <w:p>
            <w:pPr>
              <w:ind w:left="80"/>
              <w:spacing w:after="0"/>
              <w:rPr>
                <w:sz w:val="20"/>
                <w:szCs w:val="20"/>
                <w:color w:val="auto"/>
              </w:rPr>
            </w:pPr>
            <w:r>
              <w:rPr>
                <w:rFonts w:ascii="Arial" w:cs="Arial" w:eastAsia="Arial" w:hAnsi="Arial"/>
                <w:sz w:val="17"/>
                <w:szCs w:val="17"/>
                <w:color w:val="auto"/>
                <w:w w:val="94"/>
              </w:rPr>
              <w:t>Rule 13a-14(a)/15d-14(a) Certification of Principal Financial Officer as adopted pursuant to Section 302 of the Sarbanes-Oxley Act of 2002</w:t>
            </w:r>
          </w:p>
        </w:tc>
        <w:tc>
          <w:tcPr>
            <w:tcW w:w="0" w:type="dxa"/>
            <w:vAlign w:val="bottom"/>
          </w:tcPr>
          <w:p>
            <w:pPr>
              <w:spacing w:after="0"/>
              <w:rPr>
                <w:sz w:val="1"/>
                <w:szCs w:val="1"/>
                <w:color w:val="auto"/>
              </w:rPr>
            </w:pPr>
          </w:p>
        </w:tc>
      </w:tr>
      <w:tr>
        <w:trPr>
          <w:trHeight w:val="209"/>
        </w:trPr>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12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340" w:type="dxa"/>
            <w:vAlign w:val="bottom"/>
            <w:gridSpan w:val="3"/>
          </w:tcPr>
          <w:p>
            <w:pPr>
              <w:spacing w:after="0"/>
              <w:rPr>
                <w:sz w:val="18"/>
                <w:szCs w:val="18"/>
                <w:color w:val="auto"/>
              </w:rPr>
            </w:pPr>
          </w:p>
        </w:tc>
        <w:tc>
          <w:tcPr>
            <w:tcW w:w="134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60" w:type="dxa"/>
            <w:vAlign w:val="bottom"/>
            <w:shd w:val="clear" w:color="auto" w:fill="CCEEFF"/>
          </w:tcPr>
          <w:p>
            <w:pPr>
              <w:spacing w:after="0"/>
              <w:rPr>
                <w:rFonts w:ascii="Arial" w:cs="Arial" w:eastAsia="Arial" w:hAnsi="Arial"/>
                <w:sz w:val="17"/>
                <w:szCs w:val="17"/>
                <w:u w:val="single" w:color="auto"/>
                <w:color w:val="0000EE"/>
              </w:rPr>
            </w:pPr>
            <w:hyperlink w:anchor="page69">
              <w:r>
                <w:rPr>
                  <w:rFonts w:ascii="Arial" w:cs="Arial" w:eastAsia="Arial" w:hAnsi="Arial"/>
                  <w:sz w:val="17"/>
                  <w:szCs w:val="17"/>
                  <w:u w:val="single" w:color="auto"/>
                  <w:color w:val="0000EE"/>
                </w:rPr>
                <w:t>32+</w:t>
              </w:r>
            </w:hyperlink>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960" w:type="dxa"/>
            <w:vAlign w:val="bottom"/>
            <w:gridSpan w:val="14"/>
            <w:shd w:val="clear" w:color="auto" w:fill="CCEEFF"/>
          </w:tcPr>
          <w:p>
            <w:pPr>
              <w:ind w:left="80"/>
              <w:spacing w:after="0"/>
              <w:rPr>
                <w:sz w:val="20"/>
                <w:szCs w:val="20"/>
                <w:color w:val="auto"/>
              </w:rPr>
            </w:pPr>
            <w:r>
              <w:rPr>
                <w:rFonts w:ascii="Arial" w:cs="Arial" w:eastAsia="Arial" w:hAnsi="Arial"/>
                <w:sz w:val="17"/>
                <w:szCs w:val="17"/>
                <w:color w:val="auto"/>
                <w:w w:val="92"/>
              </w:rPr>
              <w:t>Certification of Chief Executive Officer and Chief Financial Officer Pursuant to 18 U.S.C. Section 1350, as Adopted Pursuant to Section 906 of</w:t>
            </w:r>
          </w:p>
        </w:tc>
        <w:tc>
          <w:tcPr>
            <w:tcW w:w="0" w:type="dxa"/>
            <w:vAlign w:val="bottom"/>
          </w:tcPr>
          <w:p>
            <w:pPr>
              <w:spacing w:after="0"/>
              <w:rPr>
                <w:sz w:val="1"/>
                <w:szCs w:val="1"/>
                <w:color w:val="auto"/>
              </w:rPr>
            </w:pPr>
          </w:p>
        </w:tc>
      </w:tr>
      <w:tr>
        <w:trPr>
          <w:trHeight w:val="218"/>
        </w:trPr>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580" w:type="dxa"/>
            <w:vAlign w:val="bottom"/>
            <w:gridSpan w:val="4"/>
            <w:shd w:val="clear" w:color="auto" w:fill="CCEEFF"/>
          </w:tcPr>
          <w:p>
            <w:pPr>
              <w:ind w:left="80"/>
              <w:spacing w:after="0"/>
              <w:rPr>
                <w:sz w:val="20"/>
                <w:szCs w:val="20"/>
                <w:color w:val="auto"/>
              </w:rPr>
            </w:pPr>
            <w:r>
              <w:rPr>
                <w:rFonts w:ascii="Arial" w:cs="Arial" w:eastAsia="Arial" w:hAnsi="Arial"/>
                <w:sz w:val="17"/>
                <w:szCs w:val="17"/>
                <w:color w:val="auto"/>
              </w:rPr>
              <w:t>the Sarbanes-Oxley Act of 2002</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101.INS</w:t>
            </w:r>
          </w:p>
        </w:tc>
        <w:tc>
          <w:tcPr>
            <w:tcW w:w="4580" w:type="dxa"/>
            <w:vAlign w:val="bottom"/>
            <w:gridSpan w:val="4"/>
            <w:shd w:val="clear" w:color="auto" w:fill="CCEEFF"/>
          </w:tcPr>
          <w:p>
            <w:pPr>
              <w:ind w:left="80"/>
              <w:spacing w:after="0"/>
              <w:rPr>
                <w:sz w:val="20"/>
                <w:szCs w:val="20"/>
                <w:color w:val="auto"/>
              </w:rPr>
            </w:pPr>
            <w:r>
              <w:rPr>
                <w:rFonts w:ascii="Arial" w:cs="Arial" w:eastAsia="Arial" w:hAnsi="Arial"/>
                <w:sz w:val="17"/>
                <w:szCs w:val="17"/>
                <w:color w:val="auto"/>
              </w:rPr>
              <w:t>XBRL Instance Document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101.SCH</w:t>
            </w:r>
          </w:p>
        </w:tc>
        <w:tc>
          <w:tcPr>
            <w:tcW w:w="4580" w:type="dxa"/>
            <w:vAlign w:val="bottom"/>
            <w:gridSpan w:val="4"/>
            <w:shd w:val="clear" w:color="auto" w:fill="CCEEFF"/>
          </w:tcPr>
          <w:p>
            <w:pPr>
              <w:ind w:left="80"/>
              <w:spacing w:after="0"/>
              <w:rPr>
                <w:sz w:val="20"/>
                <w:szCs w:val="20"/>
                <w:color w:val="auto"/>
              </w:rPr>
            </w:pPr>
            <w:r>
              <w:rPr>
                <w:rFonts w:ascii="Arial" w:cs="Arial" w:eastAsia="Arial" w:hAnsi="Arial"/>
                <w:sz w:val="17"/>
                <w:szCs w:val="17"/>
                <w:color w:val="auto"/>
              </w:rPr>
              <w:t>101.SCH XBRL Taxonomy Extension Schema.</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101.CAL</w:t>
            </w:r>
          </w:p>
        </w:tc>
        <w:tc>
          <w:tcPr>
            <w:tcW w:w="4580" w:type="dxa"/>
            <w:vAlign w:val="bottom"/>
            <w:gridSpan w:val="4"/>
            <w:shd w:val="clear" w:color="auto" w:fill="CCEEFF"/>
          </w:tcPr>
          <w:p>
            <w:pPr>
              <w:ind w:left="80"/>
              <w:spacing w:after="0"/>
              <w:rPr>
                <w:sz w:val="20"/>
                <w:szCs w:val="20"/>
                <w:color w:val="auto"/>
              </w:rPr>
            </w:pPr>
            <w:r>
              <w:rPr>
                <w:rFonts w:ascii="Arial" w:cs="Arial" w:eastAsia="Arial" w:hAnsi="Arial"/>
                <w:sz w:val="17"/>
                <w:szCs w:val="17"/>
                <w:color w:val="auto"/>
              </w:rPr>
              <w:t>101.CAL XBRL Taxonomy Extension Calculation Linkbase.</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101.DEF</w:t>
            </w:r>
          </w:p>
        </w:tc>
        <w:tc>
          <w:tcPr>
            <w:tcW w:w="4580" w:type="dxa"/>
            <w:vAlign w:val="bottom"/>
            <w:gridSpan w:val="4"/>
            <w:shd w:val="clear" w:color="auto" w:fill="CCEEFF"/>
          </w:tcPr>
          <w:p>
            <w:pPr>
              <w:ind w:left="80"/>
              <w:spacing w:after="0"/>
              <w:rPr>
                <w:sz w:val="20"/>
                <w:szCs w:val="20"/>
                <w:color w:val="auto"/>
              </w:rPr>
            </w:pPr>
            <w:r>
              <w:rPr>
                <w:rFonts w:ascii="Arial" w:cs="Arial" w:eastAsia="Arial" w:hAnsi="Arial"/>
                <w:sz w:val="17"/>
                <w:szCs w:val="17"/>
                <w:color w:val="auto"/>
              </w:rPr>
              <w:t>101.DEF XBRL Taxonomy Extension Definition Linkbase.</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101.LAB</w:t>
            </w:r>
          </w:p>
        </w:tc>
        <w:tc>
          <w:tcPr>
            <w:tcW w:w="4580" w:type="dxa"/>
            <w:vAlign w:val="bottom"/>
            <w:gridSpan w:val="4"/>
            <w:shd w:val="clear" w:color="auto" w:fill="CCEEFF"/>
          </w:tcPr>
          <w:p>
            <w:pPr>
              <w:ind w:left="80"/>
              <w:spacing w:after="0"/>
              <w:rPr>
                <w:sz w:val="20"/>
                <w:szCs w:val="20"/>
                <w:color w:val="auto"/>
              </w:rPr>
            </w:pPr>
            <w:r>
              <w:rPr>
                <w:rFonts w:ascii="Arial" w:cs="Arial" w:eastAsia="Arial" w:hAnsi="Arial"/>
                <w:sz w:val="17"/>
                <w:szCs w:val="17"/>
                <w:color w:val="auto"/>
              </w:rPr>
              <w:t>101.LAB XBRL Taxonomy Extension Label Linkbase.</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101.PRE</w:t>
            </w:r>
          </w:p>
        </w:tc>
        <w:tc>
          <w:tcPr>
            <w:tcW w:w="4580" w:type="dxa"/>
            <w:vAlign w:val="bottom"/>
            <w:gridSpan w:val="4"/>
            <w:shd w:val="clear" w:color="auto" w:fill="CCEEFF"/>
          </w:tcPr>
          <w:p>
            <w:pPr>
              <w:ind w:left="80"/>
              <w:spacing w:after="0"/>
              <w:rPr>
                <w:sz w:val="20"/>
                <w:szCs w:val="20"/>
                <w:color w:val="auto"/>
              </w:rPr>
            </w:pPr>
            <w:r>
              <w:rPr>
                <w:rFonts w:ascii="Arial" w:cs="Arial" w:eastAsia="Arial" w:hAnsi="Arial"/>
                <w:sz w:val="17"/>
                <w:szCs w:val="17"/>
                <w:color w:val="auto"/>
                <w:w w:val="97"/>
              </w:rPr>
              <w:t>101.PRE XBRL Taxonomy Extension Presentation Linkbase.</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both"/>
        <w:ind w:left="320" w:hanging="315"/>
        <w:spacing w:after="0" w:line="268" w:lineRule="auto"/>
        <w:tabs>
          <w:tab w:leader="none" w:pos="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This exhibit will not be deemed “filed” for purposes of Section 18 of the Securities Exchange Act of 1934, as amended, or otherwise subject to the liability of that section. Such exhibit shall not be deemed incorporated into any filing under the Securities Act of 1933, as amended, or the Securities Act of 1934, as amended.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17"/>
          <w:szCs w:val="17"/>
          <w:b w:val="1"/>
          <w:bCs w:val="1"/>
          <w:u w:val="single" w:color="auto"/>
          <w:color w:val="auto"/>
        </w:rPr>
        <w:t>SIGNATURES</w:t>
      </w:r>
    </w:p>
    <w:p>
      <w:pPr>
        <w:spacing w:after="0" w:line="227" w:lineRule="exact"/>
        <w:rPr>
          <w:sz w:val="20"/>
          <w:szCs w:val="20"/>
          <w:color w:val="auto"/>
        </w:rPr>
      </w:pPr>
    </w:p>
    <w:p>
      <w:pPr>
        <w:ind w:firstLine="627"/>
        <w:spacing w:after="0" w:line="281"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KINGSTONE COMPANIES, INC.</w:t>
      </w:r>
    </w:p>
    <w:p>
      <w:pPr>
        <w:spacing w:after="0" w:line="227" w:lineRule="exact"/>
        <w:rPr>
          <w:sz w:val="20"/>
          <w:szCs w:val="20"/>
          <w:color w:val="auto"/>
        </w:rPr>
      </w:pPr>
    </w:p>
    <w:p>
      <w:pPr>
        <w:spacing w:after="0"/>
        <w:tabs>
          <w:tab w:leader="none" w:pos="5600" w:val="left"/>
        </w:tabs>
        <w:rPr>
          <w:sz w:val="20"/>
          <w:szCs w:val="20"/>
          <w:color w:val="auto"/>
        </w:rPr>
      </w:pPr>
      <w:r>
        <w:rPr>
          <w:rFonts w:ascii="Arial" w:cs="Arial" w:eastAsia="Arial" w:hAnsi="Arial"/>
          <w:sz w:val="17"/>
          <w:szCs w:val="17"/>
          <w:color w:val="auto"/>
        </w:rPr>
        <w:t>Dated: May 11, 2020</w:t>
      </w:r>
      <w:r>
        <w:rPr>
          <w:sz w:val="20"/>
          <w:szCs w:val="20"/>
          <w:color w:val="auto"/>
        </w:rPr>
        <w:tab/>
      </w:r>
      <w:r>
        <w:rPr>
          <w:rFonts w:ascii="Arial" w:cs="Arial" w:eastAsia="Arial" w:hAnsi="Arial"/>
          <w:sz w:val="16"/>
          <w:szCs w:val="16"/>
          <w:color w:val="auto"/>
        </w:rPr>
        <w:t>By: /s/ Barry B.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22225</wp:posOffset>
            </wp:positionV>
            <wp:extent cx="2498090"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2498090" cy="16510"/>
                    </a:xfrm>
                    <a:prstGeom prst="rect">
                      <a:avLst/>
                    </a:prstGeom>
                    <a:noFill/>
                  </pic:spPr>
                </pic:pic>
              </a:graphicData>
            </a:graphic>
          </wp:anchor>
        </w:drawing>
      </w:r>
    </w:p>
    <w:p>
      <w:pPr>
        <w:spacing w:after="0" w:line="33"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Barry B. Goldstein</w:t>
      </w:r>
    </w:p>
    <w:p>
      <w:pPr>
        <w:spacing w:after="0" w:line="20"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5600" w:val="left"/>
        </w:tabs>
        <w:rPr>
          <w:sz w:val="20"/>
          <w:szCs w:val="20"/>
          <w:color w:val="auto"/>
        </w:rPr>
      </w:pPr>
      <w:r>
        <w:rPr>
          <w:rFonts w:ascii="Arial" w:cs="Arial" w:eastAsia="Arial" w:hAnsi="Arial"/>
          <w:sz w:val="17"/>
          <w:szCs w:val="17"/>
          <w:color w:val="auto"/>
        </w:rPr>
        <w:t>Dated: May 11, 2020</w:t>
      </w:r>
      <w:r>
        <w:rPr>
          <w:sz w:val="20"/>
          <w:szCs w:val="20"/>
          <w:color w:val="auto"/>
        </w:rPr>
        <w:tab/>
      </w:r>
      <w:r>
        <w:rPr>
          <w:rFonts w:ascii="Arial" w:cs="Arial" w:eastAsia="Arial" w:hAnsi="Arial"/>
          <w:sz w:val="16"/>
          <w:szCs w:val="16"/>
          <w:color w:val="auto"/>
        </w:rPr>
        <w:t>By: /s/ Victor Brodsky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22225</wp:posOffset>
            </wp:positionV>
            <wp:extent cx="2498090"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2498090" cy="16510"/>
                    </a:xfrm>
                    <a:prstGeom prst="rect">
                      <a:avLst/>
                    </a:prstGeom>
                    <a:noFill/>
                  </pic:spPr>
                </pic:pic>
              </a:graphicData>
            </a:graphic>
          </wp:anchor>
        </w:drawing>
      </w:r>
    </w:p>
    <w:p>
      <w:pPr>
        <w:spacing w:after="0" w:line="33"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Victor Brodsky</w:t>
      </w:r>
    </w:p>
    <w:p>
      <w:pPr>
        <w:spacing w:after="0" w:line="20"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71367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545"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7"/>
          <w:szCs w:val="17"/>
          <w:b w:val="1"/>
          <w:bCs w:val="1"/>
          <w:color w:val="auto"/>
        </w:rPr>
        <w:t>Exhibit 31(a)</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I, Barry B. Goldstein, certify that:</w:t>
      </w:r>
    </w:p>
    <w:p>
      <w:pPr>
        <w:spacing w:after="0" w:line="223" w:lineRule="exact"/>
        <w:rPr>
          <w:sz w:val="20"/>
          <w:szCs w:val="20"/>
          <w:color w:val="auto"/>
        </w:rPr>
      </w:pPr>
    </w:p>
    <w:p>
      <w:pPr>
        <w:ind w:left="320" w:hanging="315"/>
        <w:spacing w:after="0"/>
        <w:tabs>
          <w:tab w:leader="none" w:pos="3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Kingstone Companies, Inc.;</w:t>
      </w:r>
    </w:p>
    <w:p>
      <w:pPr>
        <w:spacing w:after="0" w:line="222" w:lineRule="exact"/>
        <w:rPr>
          <w:rFonts w:ascii="Arial" w:cs="Arial" w:eastAsia="Arial" w:hAnsi="Arial"/>
          <w:sz w:val="17"/>
          <w:szCs w:val="17"/>
          <w:color w:val="auto"/>
        </w:rPr>
      </w:pPr>
    </w:p>
    <w:p>
      <w:pPr>
        <w:ind w:left="320" w:hanging="315"/>
        <w:spacing w:after="0" w:line="313" w:lineRule="auto"/>
        <w:tabs>
          <w:tab w:leader="none" w:pos="3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6"/>
          <w:szCs w:val="16"/>
          <w:color w:val="auto"/>
        </w:rPr>
      </w:pPr>
    </w:p>
    <w:p>
      <w:pPr>
        <w:ind w:left="320" w:hanging="315"/>
        <w:spacing w:after="0" w:line="281" w:lineRule="auto"/>
        <w:tabs>
          <w:tab w:leader="none" w:pos="3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7"/>
          <w:szCs w:val="17"/>
          <w:color w:val="auto"/>
        </w:rPr>
      </w:pPr>
    </w:p>
    <w:p>
      <w:pPr>
        <w:jc w:val="both"/>
        <w:ind w:left="320" w:hanging="315"/>
        <w:spacing w:after="0" w:line="268" w:lineRule="auto"/>
        <w:tabs>
          <w:tab w:leader="none" w:pos="3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7" w:lineRule="exact"/>
        <w:rPr>
          <w:rFonts w:ascii="Arial" w:cs="Arial" w:eastAsia="Arial" w:hAnsi="Arial"/>
          <w:sz w:val="17"/>
          <w:szCs w:val="17"/>
          <w:color w:val="auto"/>
        </w:rPr>
      </w:pPr>
    </w:p>
    <w:p>
      <w:pPr>
        <w:jc w:val="both"/>
        <w:ind w:left="640" w:hanging="322"/>
        <w:spacing w:after="0" w:line="268" w:lineRule="auto"/>
        <w:tabs>
          <w:tab w:leader="none" w:pos="64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7"/>
          <w:szCs w:val="17"/>
          <w:color w:val="auto"/>
        </w:rPr>
      </w:pPr>
    </w:p>
    <w:p>
      <w:pPr>
        <w:jc w:val="both"/>
        <w:ind w:left="640" w:hanging="322"/>
        <w:spacing w:after="0" w:line="268" w:lineRule="auto"/>
        <w:tabs>
          <w:tab w:leader="none" w:pos="64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7"/>
          <w:szCs w:val="17"/>
          <w:color w:val="auto"/>
        </w:rPr>
      </w:pPr>
    </w:p>
    <w:p>
      <w:pPr>
        <w:ind w:left="640" w:hanging="322"/>
        <w:spacing w:after="0" w:line="281" w:lineRule="auto"/>
        <w:tabs>
          <w:tab w:leader="none" w:pos="640"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17"/>
          <w:szCs w:val="17"/>
          <w:color w:val="auto"/>
        </w:rPr>
      </w:pPr>
    </w:p>
    <w:p>
      <w:pPr>
        <w:jc w:val="both"/>
        <w:ind w:left="640" w:hanging="322"/>
        <w:spacing w:after="0" w:line="269" w:lineRule="auto"/>
        <w:tabs>
          <w:tab w:leader="none" w:pos="640" w:val="left"/>
        </w:tabs>
        <w:numPr>
          <w:ilvl w:val="1"/>
          <w:numId w:val="18"/>
        </w:numPr>
        <w:rPr>
          <w:rFonts w:ascii="Arial" w:cs="Arial" w:eastAsia="Arial" w:hAnsi="Arial"/>
          <w:sz w:val="17"/>
          <w:szCs w:val="17"/>
          <w:color w:val="auto"/>
        </w:rPr>
      </w:pPr>
      <w:r>
        <w:rPr>
          <w:rFonts w:ascii="Arial" w:cs="Arial" w:eastAsia="Arial" w:hAnsi="Arial"/>
          <w:sz w:val="17"/>
          <w:szCs w:val="17"/>
          <w:color w:val="auto"/>
        </w:rPr>
        <w:t xml:space="preserve">Disclosed </w:t>
      </w:r>
      <w:r>
        <w:rPr>
          <w:rFonts w:ascii="Arial" w:cs="Arial" w:eastAsia="Arial" w:hAnsi="Arial"/>
          <w:sz w:val="20"/>
          <w:szCs w:val="20"/>
          <w:color w:val="auto"/>
        </w:rPr>
        <w:t>i</w:t>
      </w:r>
      <w:r>
        <w:rPr>
          <w:rFonts w:ascii="Arial" w:cs="Arial" w:eastAsia="Arial" w:hAnsi="Arial"/>
          <w:sz w:val="17"/>
          <w:szCs w:val="17"/>
          <w:color w:val="auto"/>
        </w:rPr>
        <w:t>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Arial" w:cs="Arial" w:eastAsia="Arial" w:hAnsi="Arial"/>
          <w:sz w:val="17"/>
          <w:szCs w:val="17"/>
          <w:color w:val="auto"/>
        </w:rPr>
      </w:pPr>
    </w:p>
    <w:p>
      <w:pPr>
        <w:ind w:left="320" w:hanging="315"/>
        <w:spacing w:after="0" w:line="281" w:lineRule="auto"/>
        <w:tabs>
          <w:tab w:leader="none" w:pos="3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Arial" w:cs="Arial" w:eastAsia="Arial" w:hAnsi="Arial"/>
          <w:sz w:val="17"/>
          <w:szCs w:val="17"/>
          <w:color w:val="auto"/>
        </w:rPr>
      </w:pPr>
    </w:p>
    <w:p>
      <w:pPr>
        <w:ind w:left="640" w:hanging="322"/>
        <w:spacing w:after="0" w:line="281" w:lineRule="auto"/>
        <w:tabs>
          <w:tab w:leader="none" w:pos="64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7"/>
          <w:szCs w:val="17"/>
          <w:color w:val="auto"/>
        </w:rPr>
      </w:pPr>
    </w:p>
    <w:p>
      <w:pPr>
        <w:ind w:left="640" w:hanging="322"/>
        <w:spacing w:after="0" w:line="281" w:lineRule="auto"/>
        <w:tabs>
          <w:tab w:leader="none" w:pos="64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Date: May 11, 2020</w:t>
      </w:r>
    </w:p>
    <w:p>
      <w:pPr>
        <w:spacing w:after="0" w:line="20" w:lineRule="exact"/>
        <w:rPr>
          <w:sz w:val="20"/>
          <w:szCs w:val="20"/>
          <w:color w:val="auto"/>
        </w:rPr>
      </w:pPr>
    </w:p>
    <w:p>
      <w:pPr>
        <w:ind w:left="5180"/>
        <w:spacing w:after="0"/>
        <w:rPr>
          <w:sz w:val="20"/>
          <w:szCs w:val="20"/>
          <w:color w:val="auto"/>
        </w:rPr>
      </w:pPr>
      <w:r>
        <w:rPr>
          <w:rFonts w:ascii="Arial" w:cs="Arial" w:eastAsia="Arial" w:hAnsi="Arial"/>
          <w:sz w:val="17"/>
          <w:szCs w:val="17"/>
          <w:u w:val="single" w:color="auto"/>
          <w:color w:val="auto"/>
        </w:rPr>
        <w:t>/s/ Barry B. Goldstein</w:t>
      </w:r>
    </w:p>
    <w:p>
      <w:pPr>
        <w:spacing w:after="0" w:line="14"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Barry B. Goldstein</w:t>
      </w:r>
    </w:p>
    <w:p>
      <w:pPr>
        <w:spacing w:after="0" w:line="14"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424815</wp:posOffset>
            </wp:positionV>
            <wp:extent cx="71367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506"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7"/>
          <w:szCs w:val="17"/>
          <w:b w:val="1"/>
          <w:bCs w:val="1"/>
          <w:color w:val="auto"/>
        </w:rPr>
        <w:t>Exhibit 31(b)</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CERTIFICATION</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color w:val="auto"/>
        </w:rPr>
        <w:t>I, Victor Brodsky, certify that:</w:t>
      </w:r>
    </w:p>
    <w:p>
      <w:pPr>
        <w:spacing w:after="0" w:line="223" w:lineRule="exact"/>
        <w:rPr>
          <w:sz w:val="20"/>
          <w:szCs w:val="20"/>
          <w:color w:val="auto"/>
        </w:rPr>
      </w:pPr>
    </w:p>
    <w:p>
      <w:pPr>
        <w:ind w:left="340" w:hanging="335"/>
        <w:spacing w:after="0"/>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Kingstone Companies, Inc.;</w:t>
      </w:r>
    </w:p>
    <w:p>
      <w:pPr>
        <w:spacing w:after="0" w:line="222" w:lineRule="exact"/>
        <w:rPr>
          <w:rFonts w:ascii="Arial" w:cs="Arial" w:eastAsia="Arial" w:hAnsi="Arial"/>
          <w:sz w:val="17"/>
          <w:szCs w:val="17"/>
          <w:color w:val="auto"/>
        </w:rPr>
      </w:pPr>
    </w:p>
    <w:p>
      <w:pPr>
        <w:ind w:left="340" w:hanging="335"/>
        <w:spacing w:after="0" w:line="313"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6"/>
          <w:szCs w:val="16"/>
          <w:color w:val="auto"/>
        </w:rPr>
      </w:pPr>
    </w:p>
    <w:p>
      <w:pPr>
        <w:ind w:left="340" w:hanging="335"/>
        <w:spacing w:after="0" w:line="281"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7"/>
          <w:szCs w:val="17"/>
          <w:color w:val="auto"/>
        </w:rPr>
      </w:pPr>
    </w:p>
    <w:p>
      <w:pPr>
        <w:jc w:val="both"/>
        <w:ind w:left="340" w:hanging="335"/>
        <w:spacing w:after="0" w:line="26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7"/>
          <w:szCs w:val="17"/>
          <w:color w:val="auto"/>
        </w:rPr>
      </w:pPr>
    </w:p>
    <w:p>
      <w:pPr>
        <w:jc w:val="both"/>
        <w:ind w:left="680" w:hanging="336"/>
        <w:spacing w:after="0" w:line="268" w:lineRule="auto"/>
        <w:tabs>
          <w:tab w:leader="none" w:pos="6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7"/>
          <w:szCs w:val="17"/>
          <w:color w:val="auto"/>
        </w:rPr>
      </w:pPr>
    </w:p>
    <w:p>
      <w:pPr>
        <w:jc w:val="both"/>
        <w:ind w:left="680" w:hanging="336"/>
        <w:spacing w:after="0" w:line="268" w:lineRule="auto"/>
        <w:tabs>
          <w:tab w:leader="none" w:pos="6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7"/>
          <w:szCs w:val="17"/>
          <w:color w:val="auto"/>
        </w:rPr>
      </w:pPr>
    </w:p>
    <w:p>
      <w:pPr>
        <w:ind w:left="680" w:hanging="336"/>
        <w:spacing w:after="0" w:line="281" w:lineRule="auto"/>
        <w:tabs>
          <w:tab w:leader="none" w:pos="6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Arial" w:cs="Arial" w:eastAsia="Arial" w:hAnsi="Arial"/>
          <w:sz w:val="17"/>
          <w:szCs w:val="17"/>
          <w:color w:val="auto"/>
        </w:rPr>
      </w:pPr>
    </w:p>
    <w:p>
      <w:pPr>
        <w:jc w:val="both"/>
        <w:ind w:left="680" w:hanging="336"/>
        <w:spacing w:after="0" w:line="268" w:lineRule="auto"/>
        <w:tabs>
          <w:tab w:leader="none" w:pos="6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7"/>
          <w:szCs w:val="17"/>
          <w:color w:val="auto"/>
        </w:rPr>
      </w:pPr>
    </w:p>
    <w:p>
      <w:pPr>
        <w:ind w:left="340" w:hanging="335"/>
        <w:spacing w:after="0" w:line="281"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Arial" w:cs="Arial" w:eastAsia="Arial" w:hAnsi="Arial"/>
          <w:sz w:val="17"/>
          <w:szCs w:val="17"/>
          <w:color w:val="auto"/>
        </w:rPr>
      </w:pPr>
    </w:p>
    <w:p>
      <w:pPr>
        <w:ind w:left="680" w:hanging="336"/>
        <w:spacing w:after="0" w:line="281" w:lineRule="auto"/>
        <w:tabs>
          <w:tab w:leader="none" w:pos="6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7"/>
          <w:szCs w:val="17"/>
          <w:color w:val="auto"/>
        </w:rPr>
      </w:pPr>
    </w:p>
    <w:p>
      <w:pPr>
        <w:ind w:left="680" w:hanging="336"/>
        <w:spacing w:after="0" w:line="281" w:lineRule="auto"/>
        <w:tabs>
          <w:tab w:leader="none" w:pos="68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color w:val="auto"/>
        </w:rPr>
        <w:t>Date: May 11, 2020</w:t>
      </w:r>
    </w:p>
    <w:p>
      <w:pPr>
        <w:spacing w:after="0" w:line="20" w:lineRule="exact"/>
        <w:rPr>
          <w:sz w:val="20"/>
          <w:szCs w:val="20"/>
          <w:color w:val="auto"/>
        </w:rPr>
      </w:pPr>
    </w:p>
    <w:p>
      <w:pPr>
        <w:ind w:left="5180"/>
        <w:spacing w:after="0"/>
        <w:rPr>
          <w:sz w:val="20"/>
          <w:szCs w:val="20"/>
          <w:color w:val="auto"/>
        </w:rPr>
      </w:pPr>
      <w:r>
        <w:rPr>
          <w:rFonts w:ascii="Arial" w:cs="Arial" w:eastAsia="Arial" w:hAnsi="Arial"/>
          <w:sz w:val="17"/>
          <w:szCs w:val="17"/>
          <w:u w:val="single" w:color="auto"/>
          <w:color w:val="auto"/>
        </w:rPr>
        <w:t>/s/ Victor Brodsky</w:t>
      </w:r>
    </w:p>
    <w:p>
      <w:pPr>
        <w:spacing w:after="0" w:line="14"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Victor Brodsky</w:t>
      </w:r>
    </w:p>
    <w:p>
      <w:pPr>
        <w:spacing w:after="0" w:line="14"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591185</wp:posOffset>
            </wp:positionV>
            <wp:extent cx="71367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480"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7"/>
          <w:szCs w:val="17"/>
          <w:b w:val="1"/>
          <w:bCs w:val="1"/>
          <w:color w:val="auto"/>
        </w:rPr>
        <w:t>Exhibit 32</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CHIEF EXECUTIVE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CHIEF FINANCIAL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16" w:lineRule="exact"/>
        <w:rPr>
          <w:sz w:val="20"/>
          <w:szCs w:val="20"/>
          <w:color w:val="auto"/>
        </w:rPr>
      </w:pPr>
    </w:p>
    <w:p>
      <w:pPr>
        <w:jc w:val="both"/>
        <w:ind w:firstLine="627"/>
        <w:spacing w:after="0" w:line="286" w:lineRule="auto"/>
        <w:rPr>
          <w:sz w:val="20"/>
          <w:szCs w:val="20"/>
          <w:color w:val="auto"/>
        </w:rPr>
      </w:pPr>
      <w:r>
        <w:rPr>
          <w:rFonts w:ascii="Arial" w:cs="Arial" w:eastAsia="Arial" w:hAnsi="Arial"/>
          <w:sz w:val="16"/>
          <w:szCs w:val="16"/>
          <w:color w:val="auto"/>
        </w:rPr>
        <w:t>The undersigned hereby certify, pursuant to, and as required by, 18 U.S.C. Section 1350, as adopted pursuant to Section 906 of the Sarbanes-Oxley Act of 2002, that the Quarterly Report of Kingstone Companies, Inc. (the “Company”) on Form 10-Q for the period ended March 31, 2020 fully complies with the requirements of Section 13(a) or 15(d) of the Securities Exchange Act of 1934, as amended, and that information contained in such Quarterly Report on Form 10-Q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5940" w:val="left"/>
        </w:tabs>
        <w:rPr>
          <w:sz w:val="20"/>
          <w:szCs w:val="20"/>
          <w:color w:val="auto"/>
        </w:rPr>
      </w:pPr>
      <w:r>
        <w:rPr>
          <w:rFonts w:ascii="Arial" w:cs="Arial" w:eastAsia="Arial" w:hAnsi="Arial"/>
          <w:sz w:val="17"/>
          <w:szCs w:val="17"/>
          <w:color w:val="auto"/>
        </w:rPr>
        <w:t>Dated: May 11, 2020</w:t>
      </w:r>
      <w:r>
        <w:rPr>
          <w:sz w:val="20"/>
          <w:szCs w:val="20"/>
          <w:color w:val="auto"/>
        </w:rPr>
        <w:tab/>
      </w:r>
      <w:r>
        <w:rPr>
          <w:rFonts w:ascii="Arial" w:cs="Arial" w:eastAsia="Arial" w:hAnsi="Arial"/>
          <w:sz w:val="15"/>
          <w:szCs w:val="15"/>
          <w:color w:val="auto"/>
        </w:rPr>
        <w:t>/s/ Barry B.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22225</wp:posOffset>
            </wp:positionV>
            <wp:extent cx="2498090"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2498090" cy="16510"/>
                    </a:xfrm>
                    <a:prstGeom prst="rect">
                      <a:avLst/>
                    </a:prstGeom>
                    <a:noFill/>
                  </pic:spPr>
                </pic:pic>
              </a:graphicData>
            </a:graphic>
          </wp:anchor>
        </w:drawing>
      </w:r>
    </w:p>
    <w:p>
      <w:pPr>
        <w:spacing w:after="0" w:line="33"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Barry B. Goldstein</w:t>
      </w:r>
    </w:p>
    <w:p>
      <w:pPr>
        <w:spacing w:after="0" w:line="20"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Chief Executive Officer</w:t>
      </w:r>
    </w:p>
    <w:p>
      <w:pPr>
        <w:spacing w:after="0" w:line="216"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/s/ Victor Brodsky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13970</wp:posOffset>
            </wp:positionV>
            <wp:extent cx="2498090"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2498090" cy="16510"/>
                    </a:xfrm>
                    <a:prstGeom prst="rect">
                      <a:avLst/>
                    </a:prstGeom>
                    <a:noFill/>
                  </pic:spPr>
                </pic:pic>
              </a:graphicData>
            </a:graphic>
          </wp:anchor>
        </w:drawing>
      </w:r>
    </w:p>
    <w:p>
      <w:pPr>
        <w:spacing w:after="0" w:line="20"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Victor Brodsky</w:t>
      </w:r>
    </w:p>
    <w:p>
      <w:pPr>
        <w:spacing w:after="0" w:line="20"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1313180</wp:posOffset>
            </wp:positionV>
            <wp:extent cx="71367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sectPr>
      <w:pgSz w:w="11900" w:h="16838" w:orient="portrait"/>
      <w:cols w:equalWidth="0" w:num="1">
        <w:col w:w="11240"/>
      </w:cols>
      <w:pgMar w:left="320" w:top="4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upperLetter"/>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65" Type="http://schemas.openxmlformats.org/officeDocument/2006/relationships/hyperlink" Target="http://www.sec.gov/Archives/edgar/data/33992/000135448814002619/kins_ex3a.htm" TargetMode="External"/><Relationship Id="rId66" Type="http://schemas.openxmlformats.org/officeDocument/2006/relationships/hyperlink" Target="http://www.sec.gov/Archives/edgar/data/33992/000102177109000069/ex3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2020-05-11T16:23:52Z</dcterms:created>
  <dcterms:modified xsi:type="dcterms:W3CDTF">2020-05-11T16:23:52Z</dcterms:modified>
</cp:coreProperties>
</file>