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9" w:lineRule="exact"/>
        <w:rPr>
          <w:sz w:val="24"/>
          <w:szCs w:val="24"/>
          <w:color w:val="auto"/>
        </w:rPr>
      </w:pPr>
    </w:p>
    <w:p>
      <w:pPr>
        <w:ind w:left="460" w:hanging="331"/>
        <w:spacing w:after="0"/>
        <w:tabs>
          <w:tab w:leader="none" w:pos="4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9" w:lineRule="exact"/>
        <w:rPr>
          <w:sz w:val="24"/>
          <w:szCs w:val="24"/>
          <w:color w:val="auto"/>
        </w:rPr>
      </w:pPr>
    </w:p>
    <w:p>
      <w:pPr>
        <w:ind w:left="460" w:hanging="316"/>
        <w:spacing w:after="0"/>
        <w:tabs>
          <w:tab w:leader="none" w:pos="4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20"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_________to _________</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0-1665</w:t>
      </w:r>
    </w:p>
    <w:p>
      <w:pPr>
        <w:spacing w:after="0" w:line="2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KINGSTONE COMPANIES,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1050925</wp:posOffset>
            </wp:positionH>
            <wp:positionV relativeFrom="paragraph">
              <wp:posOffset>45085</wp:posOffset>
            </wp:positionV>
            <wp:extent cx="50406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40630" cy="8255"/>
                    </a:xfrm>
                    <a:prstGeom prst="rect">
                      <a:avLst/>
                    </a:prstGeom>
                    <a:noFill/>
                  </pic:spPr>
                </pic:pic>
              </a:graphicData>
            </a:graphic>
          </wp:anchor>
        </w:drawing>
      </w:r>
    </w:p>
    <w:p>
      <w:pPr>
        <w:spacing w:after="0" w:line="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06" w:lineRule="exact"/>
        <w:rPr>
          <w:sz w:val="24"/>
          <w:szCs w:val="24"/>
          <w:color w:val="auto"/>
        </w:rPr>
      </w:pPr>
    </w:p>
    <w:tbl>
      <w:tblPr>
        <w:tblLayout w:type="fixed"/>
        <w:tblInd w:w="880" w:type="dxa"/>
        <w:tblCellMar>
          <w:top w:w="0" w:type="dxa"/>
          <w:left w:w="0" w:type="dxa"/>
          <w:bottom w:w="0" w:type="dxa"/>
          <w:right w:w="0" w:type="dxa"/>
        </w:tblCellMar>
      </w:tblPr>
      <w:tr>
        <w:trPr>
          <w:trHeight w:val="245"/>
        </w:trPr>
        <w:tc>
          <w:tcPr>
            <w:tcW w:w="4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36-2476480</w:t>
            </w:r>
          </w:p>
        </w:tc>
      </w:tr>
      <w:tr>
        <w:trPr>
          <w:trHeight w:val="175"/>
        </w:trPr>
        <w:tc>
          <w:tcPr>
            <w:tcW w:w="46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00" w:type="dxa"/>
            <w:vAlign w:val="bottom"/>
          </w:tcPr>
          <w:p>
            <w:pPr>
              <w:spacing w:after="0"/>
              <w:rPr>
                <w:sz w:val="15"/>
                <w:szCs w:val="15"/>
                <w:color w:val="auto"/>
              </w:rPr>
            </w:pPr>
          </w:p>
        </w:tc>
        <w:tc>
          <w:tcPr>
            <w:tcW w:w="472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25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120 Wood Road</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Kingston, NY 12401</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1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(845) 802-7900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0"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KINS</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52"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0" w:lineRule="exact"/>
        <w:rPr>
          <w:sz w:val="24"/>
          <w:szCs w:val="24"/>
          <w:color w:val="auto"/>
        </w:rPr>
      </w:pPr>
    </w:p>
    <w:tbl>
      <w:tblPr>
        <w:tblLayout w:type="fixed"/>
        <w:tblInd w:w="74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640" w:type="dxa"/>
            <w:vAlign w:val="bottom"/>
          </w:tcPr>
          <w:p>
            <w:pPr>
              <w:ind w:left="600"/>
              <w:spacing w:after="0"/>
              <w:rPr>
                <w:sz w:val="20"/>
                <w:szCs w:val="20"/>
                <w:color w:val="auto"/>
              </w:rPr>
            </w:pPr>
            <w:r>
              <w:rPr>
                <w:rFonts w:ascii="Wingdings" w:cs="Wingdings" w:eastAsia="Wingdings" w:hAnsi="Wingdings"/>
                <w:sz w:val="18"/>
                <w:szCs w:val="18"/>
                <w:b w:val="1"/>
                <w:bCs w:val="1"/>
                <w:color w:val="auto"/>
              </w:rPr>
              <w:t>o</w:t>
            </w:r>
          </w:p>
        </w:tc>
        <w:tc>
          <w:tcPr>
            <w:tcW w:w="3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20"/>
              <w:spacing w:after="0"/>
              <w:rPr>
                <w:sz w:val="20"/>
                <w:szCs w:val="20"/>
                <w:color w:val="auto"/>
              </w:rPr>
            </w:pPr>
            <w:r>
              <w:rPr>
                <w:rFonts w:ascii="Wingdings" w:cs="Wingdings" w:eastAsia="Wingdings" w:hAnsi="Wingdings"/>
                <w:sz w:val="18"/>
                <w:szCs w:val="18"/>
                <w:b w:val="1"/>
                <w:bCs w:val="1"/>
                <w:color w:val="auto"/>
                <w:w w:val="83"/>
              </w:rPr>
              <w:t>x</w:t>
            </w:r>
          </w:p>
        </w:tc>
      </w:tr>
      <w:tr>
        <w:trPr>
          <w:trHeight w:val="25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640" w:type="dxa"/>
            <w:vAlign w:val="bottom"/>
          </w:tcPr>
          <w:p>
            <w:pPr>
              <w:ind w:left="600"/>
              <w:spacing w:after="0"/>
              <w:rPr>
                <w:sz w:val="20"/>
                <w:szCs w:val="20"/>
                <w:color w:val="auto"/>
              </w:rPr>
            </w:pPr>
            <w:r>
              <w:rPr>
                <w:rFonts w:ascii="Wingdings" w:cs="Wingdings" w:eastAsia="Wingdings" w:hAnsi="Wingdings"/>
                <w:sz w:val="18"/>
                <w:szCs w:val="18"/>
                <w:b w:val="1"/>
                <w:bCs w:val="1"/>
                <w:color w:val="auto"/>
              </w:rPr>
              <w:t>o</w:t>
            </w:r>
          </w:p>
        </w:tc>
        <w:tc>
          <w:tcPr>
            <w:tcW w:w="3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20"/>
              <w:spacing w:after="0"/>
              <w:rPr>
                <w:sz w:val="20"/>
                <w:szCs w:val="20"/>
                <w:color w:val="auto"/>
              </w:rPr>
            </w:pPr>
            <w:r>
              <w:rPr>
                <w:rFonts w:ascii="Wingdings" w:cs="Wingdings" w:eastAsia="Wingdings" w:hAnsi="Wingdings"/>
                <w:sz w:val="18"/>
                <w:szCs w:val="18"/>
                <w:b w:val="1"/>
                <w:bCs w:val="1"/>
                <w:color w:val="auto"/>
                <w:w w:val="83"/>
              </w:rPr>
              <w:t>x</w:t>
            </w:r>
          </w:p>
        </w:tc>
      </w:tr>
      <w:tr>
        <w:trPr>
          <w:trHeight w:val="256"/>
        </w:trPr>
        <w:tc>
          <w:tcPr>
            <w:tcW w:w="2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20"/>
              <w:spacing w:after="0"/>
              <w:rPr>
                <w:sz w:val="20"/>
                <w:szCs w:val="20"/>
                <w:color w:val="auto"/>
              </w:rPr>
            </w:pPr>
            <w:r>
              <w:rPr>
                <w:rFonts w:ascii="Wingdings" w:cs="Wingdings" w:eastAsia="Wingdings" w:hAnsi="Wingdings"/>
                <w:sz w:val="18"/>
                <w:szCs w:val="18"/>
                <w:b w:val="1"/>
                <w:bCs w:val="1"/>
                <w:color w:val="auto"/>
                <w:w w:val="99"/>
              </w:rPr>
              <w:t>o</w:t>
            </w:r>
          </w:p>
        </w:tc>
      </w:tr>
    </w:tbl>
    <w:p>
      <w:pPr>
        <w:spacing w:after="0" w:line="306"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5, 2026, there were 14,484,841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7" w:right="319" w:bottom="1001"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600" w:type="dxa"/>
            <w:vAlign w:val="bottom"/>
            <w:gridSpan w:val="7"/>
          </w:tcPr>
          <w:p>
            <w:pPr>
              <w:spacing w:after="0"/>
              <w:rPr>
                <w:sz w:val="20"/>
                <w:szCs w:val="20"/>
                <w:color w:val="auto"/>
              </w:rPr>
            </w:pPr>
            <w:r>
              <w:rPr>
                <w:rFonts w:ascii="Times New Roman" w:cs="Times New Roman" w:eastAsia="Times New Roman" w:hAnsi="Times New Roman"/>
                <w:sz w:val="18"/>
                <w:szCs w:val="18"/>
                <w:i w:val="1"/>
                <w:iCs w:val="1"/>
                <w:color w:val="0000FF"/>
              </w:rPr>
              <w:t>Table of Contents</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380" w:type="dxa"/>
            <w:vAlign w:val="bottom"/>
            <w:gridSpan w:val="9"/>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9"/>
              </w:rPr>
              <w:t>KINGSTONE COMPANIES, INC.</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0" w:type="dxa"/>
            <w:vAlign w:val="bottom"/>
            <w:gridSpan w:val="8"/>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28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9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 —</w:t>
            </w:r>
          </w:p>
        </w:tc>
        <w:tc>
          <w:tcPr>
            <w:tcW w:w="870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w:t>
            </w:r>
          </w:p>
        </w:tc>
        <w:tc>
          <w:tcPr>
            <w:tcW w:w="92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70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at March 31, 2026 (Unaudited) and December 31, 2025</w:t>
            </w:r>
          </w:p>
        </w:tc>
        <w:tc>
          <w:tcPr>
            <w:tcW w:w="9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70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Income (Unaudited) for the three</w:t>
            </w:r>
          </w:p>
        </w:tc>
        <w:tc>
          <w:tcPr>
            <w:tcW w:w="920" w:type="dxa"/>
            <w:vAlign w:val="bottom"/>
            <w:tcBorders>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900" w:type="dxa"/>
            <w:vAlign w:val="bottom"/>
            <w:tcBorders>
              <w:top w:val="single" w:sz="8" w:color="0000FF"/>
              <w:bottom w:val="single" w:sz="8" w:color="0000FF"/>
            </w:tcBorders>
            <w:gridSpan w:val="12"/>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months ended March 31, 2026 and 2025</w:t>
            </w:r>
          </w:p>
        </w:tc>
        <w:tc>
          <w:tcPr>
            <w:tcW w:w="1440" w:type="dxa"/>
            <w:vAlign w:val="bottom"/>
            <w:tcBorders>
              <w:top w:val="single" w:sz="8" w:color="0000FF"/>
              <w:bottom w:val="single" w:sz="8" w:color="CCEEFF"/>
            </w:tcBorders>
            <w:shd w:val="clear" w:color="auto" w:fill="CCEEFF"/>
          </w:tcPr>
          <w:p>
            <w:pPr>
              <w:spacing w:after="0"/>
              <w:rPr>
                <w:sz w:val="17"/>
                <w:szCs w:val="17"/>
                <w:color w:val="auto"/>
              </w:rPr>
            </w:pPr>
          </w:p>
        </w:tc>
        <w:tc>
          <w:tcPr>
            <w:tcW w:w="560" w:type="dxa"/>
            <w:vAlign w:val="bottom"/>
            <w:tcBorders>
              <w:top w:val="single" w:sz="8" w:color="0000FF"/>
              <w:bottom w:val="single" w:sz="8" w:color="CCEEFF"/>
            </w:tcBorders>
            <w:shd w:val="clear" w:color="auto" w:fill="CCEEFF"/>
          </w:tcPr>
          <w:p>
            <w:pPr>
              <w:spacing w:after="0"/>
              <w:rPr>
                <w:sz w:val="17"/>
                <w:szCs w:val="17"/>
                <w:color w:val="auto"/>
              </w:rPr>
            </w:pPr>
          </w:p>
        </w:tc>
        <w:tc>
          <w:tcPr>
            <w:tcW w:w="1540" w:type="dxa"/>
            <w:vAlign w:val="bottom"/>
            <w:tcBorders>
              <w:top w:val="single" w:sz="8" w:color="0000FF"/>
              <w:bottom w:val="single" w:sz="8" w:color="CCEEFF"/>
            </w:tcBorders>
            <w:shd w:val="clear" w:color="auto" w:fill="CCEEFF"/>
          </w:tcPr>
          <w:p>
            <w:pPr>
              <w:spacing w:after="0"/>
              <w:rPr>
                <w:sz w:val="17"/>
                <w:szCs w:val="17"/>
                <w:color w:val="auto"/>
              </w:rPr>
            </w:pPr>
          </w:p>
        </w:tc>
        <w:tc>
          <w:tcPr>
            <w:tcW w:w="1620" w:type="dxa"/>
            <w:vAlign w:val="bottom"/>
            <w:tcBorders>
              <w:top w:val="single" w:sz="8" w:color="0000FF"/>
              <w:bottom w:val="single" w:sz="8" w:color="CCEEFF"/>
            </w:tcBorders>
            <w:gridSpan w:val="2"/>
            <w:shd w:val="clear" w:color="auto" w:fill="CCEEFF"/>
          </w:tcPr>
          <w:p>
            <w:pPr>
              <w:spacing w:after="0"/>
              <w:rPr>
                <w:sz w:val="17"/>
                <w:szCs w:val="17"/>
                <w:color w:val="auto"/>
              </w:rPr>
            </w:pP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CCEEFF"/>
              <w:bottom w:val="single" w:sz="8" w:color="CCEEFF"/>
              <w:right w:val="single" w:sz="8" w:color="CCEEFF"/>
            </w:tcBorders>
            <w:gridSpan w:val="3"/>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8700" w:type="dxa"/>
            <w:vAlign w:val="bottom"/>
            <w:tcBorders>
              <w:top w:val="single" w:sz="8" w:color="CCEEFF"/>
            </w:tcBorders>
            <w:gridSpan w:val="20"/>
          </w:tcPr>
          <w:p>
            <w:pPr>
              <w:spacing w:after="0" w:line="183"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(Unaudited) for the three months ended March 31, 2026</w:t>
            </w:r>
          </w:p>
        </w:tc>
        <w:tc>
          <w:tcPr>
            <w:tcW w:w="800" w:type="dxa"/>
            <w:vAlign w:val="bottom"/>
            <w:tcBorders>
              <w:top w:val="single" w:sz="8" w:color="CCEEFF"/>
            </w:tcBorders>
            <w:gridSpan w:val="2"/>
            <w:vMerge w:val="restart"/>
          </w:tcPr>
          <w:p>
            <w:pPr>
              <w:spacing w:after="0"/>
              <w:rPr>
                <w:sz w:val="15"/>
                <w:szCs w:val="15"/>
                <w:color w:val="auto"/>
              </w:rPr>
            </w:pPr>
          </w:p>
        </w:tc>
        <w:tc>
          <w:tcPr>
            <w:tcW w:w="120" w:type="dxa"/>
            <w:vAlign w:val="bottom"/>
            <w:tcBorders>
              <w:top w:val="single" w:sz="8" w:color="0000FF"/>
            </w:tcBorders>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and 2025</w:t>
            </w:r>
          </w:p>
        </w:tc>
        <w:tc>
          <w:tcPr>
            <w:tcW w:w="7800" w:type="dxa"/>
            <w:vAlign w:val="bottom"/>
            <w:tcBorders>
              <w:top w:val="single" w:sz="8" w:color="0000FF"/>
            </w:tcBorders>
            <w:gridSpan w:val="16"/>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Borders>
              <w:top w:val="single" w:sz="8" w:color="CCEEFF"/>
            </w:tcBorders>
            <w:gridSpan w:val="2"/>
            <w:vMerge w:val="continue"/>
          </w:tcPr>
          <w:p>
            <w:pPr>
              <w:spacing w:after="0"/>
              <w:rPr>
                <w:sz w:val="15"/>
                <w:szCs w:val="15"/>
                <w:color w:val="auto"/>
              </w:rPr>
            </w:pPr>
          </w:p>
        </w:tc>
        <w:tc>
          <w:tcPr>
            <w:tcW w:w="120" w:type="dxa"/>
            <w:vAlign w:val="bottom"/>
            <w:tcBorders>
              <w:top w:val="single" w:sz="8" w:color="0000FF"/>
              <w:bottom w:val="single" w:sz="8" w:color="0000FF"/>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0000FF"/>
            </w:tcBorders>
            <w:gridSpan w:val="19"/>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w w:val="99"/>
              </w:rPr>
              <w:t>Condensed Consolidated Statements of Cash Flows (Unaudited) for the three months ended March 31, 2026 and 2025</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0000FF"/>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0000FF"/>
                <w:w w:val="88"/>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70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9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 —</w:t>
            </w:r>
          </w:p>
        </w:tc>
        <w:tc>
          <w:tcPr>
            <w:tcW w:w="870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2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3 —</w:t>
            </w:r>
          </w:p>
        </w:tc>
        <w:tc>
          <w:tcPr>
            <w:tcW w:w="870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4 —</w:t>
            </w:r>
          </w:p>
        </w:tc>
        <w:tc>
          <w:tcPr>
            <w:tcW w:w="870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92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1028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1 —</w:t>
            </w:r>
          </w:p>
        </w:tc>
        <w:tc>
          <w:tcPr>
            <w:tcW w:w="640" w:type="dxa"/>
            <w:vAlign w:val="bottom"/>
            <w:gridSpan w:val="3"/>
            <w:shd w:val="clear" w:color="auto" w:fill="CCEEFF"/>
          </w:tcPr>
          <w:p>
            <w:pPr>
              <w:spacing w:after="0"/>
              <w:rPr>
                <w:sz w:val="16"/>
                <w:szCs w:val="16"/>
                <w:color w:val="auto"/>
              </w:rPr>
            </w:pPr>
          </w:p>
        </w:tc>
        <w:tc>
          <w:tcPr>
            <w:tcW w:w="870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92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Item 1A —</w:t>
            </w:r>
          </w:p>
        </w:tc>
        <w:tc>
          <w:tcPr>
            <w:tcW w:w="870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9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2 —</w:t>
            </w:r>
          </w:p>
        </w:tc>
        <w:tc>
          <w:tcPr>
            <w:tcW w:w="640" w:type="dxa"/>
            <w:vAlign w:val="bottom"/>
            <w:gridSpan w:val="3"/>
            <w:shd w:val="clear" w:color="auto" w:fill="CCEEFF"/>
          </w:tcPr>
          <w:p>
            <w:pPr>
              <w:spacing w:after="0"/>
              <w:rPr>
                <w:sz w:val="16"/>
                <w:szCs w:val="16"/>
                <w:color w:val="auto"/>
              </w:rPr>
            </w:pPr>
          </w:p>
        </w:tc>
        <w:tc>
          <w:tcPr>
            <w:tcW w:w="43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360" w:type="dxa"/>
            <w:vAlign w:val="bottom"/>
            <w:gridSpan w:val="7"/>
            <w:shd w:val="clear" w:color="auto" w:fill="CCEEFF"/>
          </w:tcPr>
          <w:p>
            <w:pPr>
              <w:spacing w:after="0"/>
              <w:rPr>
                <w:sz w:val="16"/>
                <w:szCs w:val="16"/>
                <w:color w:val="auto"/>
              </w:rPr>
            </w:pPr>
          </w:p>
        </w:tc>
        <w:tc>
          <w:tcPr>
            <w:tcW w:w="92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w w:val="98"/>
              </w:rPr>
              <w:t>Item 3 —</w:t>
            </w:r>
          </w:p>
        </w:tc>
        <w:tc>
          <w:tcPr>
            <w:tcW w:w="640" w:type="dxa"/>
            <w:vAlign w:val="bottom"/>
            <w:gridSpan w:val="3"/>
          </w:tcPr>
          <w:p>
            <w:pPr>
              <w:spacing w:after="0"/>
              <w:rPr>
                <w:sz w:val="16"/>
                <w:szCs w:val="16"/>
                <w:color w:val="auto"/>
              </w:rPr>
            </w:pPr>
          </w:p>
        </w:tc>
        <w:tc>
          <w:tcPr>
            <w:tcW w:w="43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360" w:type="dxa"/>
            <w:vAlign w:val="bottom"/>
            <w:gridSpan w:val="7"/>
          </w:tcPr>
          <w:p>
            <w:pPr>
              <w:spacing w:after="0"/>
              <w:rPr>
                <w:sz w:val="16"/>
                <w:szCs w:val="16"/>
                <w:color w:val="auto"/>
              </w:rPr>
            </w:pPr>
          </w:p>
        </w:tc>
        <w:tc>
          <w:tcPr>
            <w:tcW w:w="9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4 —</w:t>
            </w:r>
          </w:p>
        </w:tc>
        <w:tc>
          <w:tcPr>
            <w:tcW w:w="640" w:type="dxa"/>
            <w:vAlign w:val="bottom"/>
            <w:gridSpan w:val="3"/>
            <w:shd w:val="clear" w:color="auto" w:fill="CCEEFF"/>
          </w:tcPr>
          <w:p>
            <w:pPr>
              <w:spacing w:after="0"/>
              <w:rPr>
                <w:sz w:val="16"/>
                <w:szCs w:val="16"/>
                <w:color w:val="auto"/>
              </w:rPr>
            </w:pPr>
          </w:p>
        </w:tc>
        <w:tc>
          <w:tcPr>
            <w:tcW w:w="870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92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w w:val="98"/>
              </w:rPr>
              <w:t>Item 5 —</w:t>
            </w:r>
          </w:p>
        </w:tc>
        <w:tc>
          <w:tcPr>
            <w:tcW w:w="640" w:type="dxa"/>
            <w:vAlign w:val="bottom"/>
            <w:gridSpan w:val="3"/>
          </w:tcPr>
          <w:p>
            <w:pPr>
              <w:spacing w:after="0"/>
              <w:rPr>
                <w:sz w:val="16"/>
                <w:szCs w:val="16"/>
                <w:color w:val="auto"/>
              </w:rPr>
            </w:pPr>
          </w:p>
        </w:tc>
        <w:tc>
          <w:tcPr>
            <w:tcW w:w="176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6940" w:type="dxa"/>
            <w:vAlign w:val="bottom"/>
            <w:gridSpan w:val="10"/>
          </w:tcPr>
          <w:p>
            <w:pPr>
              <w:spacing w:after="0"/>
              <w:rPr>
                <w:sz w:val="16"/>
                <w:szCs w:val="16"/>
                <w:color w:val="auto"/>
              </w:rPr>
            </w:pPr>
          </w:p>
        </w:tc>
        <w:tc>
          <w:tcPr>
            <w:tcW w:w="9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6 —</w:t>
            </w:r>
          </w:p>
        </w:tc>
        <w:tc>
          <w:tcPr>
            <w:tcW w:w="640" w:type="dxa"/>
            <w:vAlign w:val="bottom"/>
            <w:gridSpan w:val="3"/>
            <w:shd w:val="clear" w:color="auto" w:fill="CCEEFF"/>
          </w:tcPr>
          <w:p>
            <w:pPr>
              <w:spacing w:after="0"/>
              <w:rPr>
                <w:sz w:val="16"/>
                <w:szCs w:val="16"/>
                <w:color w:val="auto"/>
              </w:rPr>
            </w:pPr>
          </w:p>
        </w:tc>
        <w:tc>
          <w:tcPr>
            <w:tcW w:w="6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6"/>
              </w:rPr>
              <w:t>Exhibits</w:t>
            </w:r>
          </w:p>
        </w:tc>
        <w:tc>
          <w:tcPr>
            <w:tcW w:w="8100" w:type="dxa"/>
            <w:vAlign w:val="bottom"/>
            <w:gridSpan w:val="19"/>
            <w:shd w:val="clear" w:color="auto" w:fill="CCEEFF"/>
          </w:tcPr>
          <w:p>
            <w:pPr>
              <w:spacing w:after="0"/>
              <w:rPr>
                <w:sz w:val="16"/>
                <w:szCs w:val="16"/>
                <w:color w:val="auto"/>
              </w:rPr>
            </w:pPr>
          </w:p>
        </w:tc>
        <w:tc>
          <w:tcPr>
            <w:tcW w:w="92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7"/>
              </w:rPr>
              <w:t>Signatures</w:t>
            </w:r>
          </w:p>
        </w:tc>
        <w:tc>
          <w:tcPr>
            <w:tcW w:w="7940" w:type="dxa"/>
            <w:vAlign w:val="bottom"/>
            <w:gridSpan w:val="17"/>
          </w:tcPr>
          <w:p>
            <w:pPr>
              <w:spacing w:after="0"/>
              <w:rPr>
                <w:sz w:val="16"/>
                <w:szCs w:val="16"/>
                <w:color w:val="auto"/>
              </w:rPr>
            </w:pPr>
          </w:p>
        </w:tc>
        <w:tc>
          <w:tcPr>
            <w:tcW w:w="9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3580" w:type="dxa"/>
            <w:vAlign w:val="bottom"/>
            <w:gridSpan w:val="10"/>
          </w:tcPr>
          <w:p>
            <w:pPr>
              <w:jc w:val="center"/>
              <w:ind w:left="2850"/>
              <w:spacing w:after="0"/>
              <w:rPr>
                <w:sz w:val="20"/>
                <w:szCs w:val="20"/>
                <w:color w:val="auto"/>
              </w:rPr>
            </w:pPr>
            <w:r>
              <w:rPr>
                <w:rFonts w:ascii="Times New Roman" w:cs="Times New Roman" w:eastAsia="Times New Roman" w:hAnsi="Times New Roman"/>
                <w:sz w:val="18"/>
                <w:szCs w:val="18"/>
                <w:color w:val="auto"/>
                <w:w w:val="88"/>
              </w:rPr>
              <w:t>2</w:t>
            </w: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88"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This Quarterly Report contains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within the meaning of the Private Securities Litigation Reform Act of 1995. The events described in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contained in this Quarterly Report may not occur. Generally, these statements relate to business plans or strategies, projected or anticipated results or other consequences of our plans or strategies, projected or anticipated results from acquisitions to be made by us, or projections involving anticipated revenues, earnings, costs or other aspects of our operating results. The words “may,” “will,” “expect,” “believe,” “anticipate,” “project,” “plan,” “intend,” “estimate,” and “continue,” and their opposites and similar expressions are intended to identify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caution you that these statements are not guarantees of future performance or events and are subject to a number of uncertainties, risks and other influences, many of which are beyond our control, which may influence the accuracy of the statements and the projections upon which the statements are based. Factors which may cause actual results and outcomes to differ materially from those contained in the forward-looking statements include, but are not limited to, the risks and uncertainties discussed in Part I, Item 1A (“Risk Factors”) of our Annual Report on Form 10-K for the year ended December 31, 2025, Part I, Item 2 of this Quarterly Report and Part II, Item 1A of this Quarterly Report.</w:t>
      </w:r>
    </w:p>
    <w:p>
      <w:pPr>
        <w:spacing w:after="0" w:line="160"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Any one or more of these uncertainties, risks and other influences could materially affect our results of operations and whether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made by us ultimately prove to be accurate. Our actual results, performance and achievements could differ materially from those expressed or implied in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undertake no obligation to publicly update or revise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whether from new information, future events or otherwise except as required by law.</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2979"/>
        <w:spacing w:after="0"/>
        <w:rPr>
          <w:sz w:val="20"/>
          <w:szCs w:val="20"/>
          <w:color w:val="auto"/>
        </w:rPr>
      </w:pPr>
      <w:r>
        <w:rPr>
          <w:rFonts w:ascii="Times New Roman" w:cs="Times New Roman" w:eastAsia="Times New Roman" w:hAnsi="Times New Roman"/>
          <w:sz w:val="18"/>
          <w:szCs w:val="18"/>
          <w:b w:val="1"/>
          <w:bCs w:val="1"/>
          <w:color w:val="auto"/>
        </w:rPr>
        <w:t xml:space="preserve">PART I. </w:t>
      </w:r>
      <w:r>
        <w:rPr>
          <w:rFonts w:ascii="Times New Roman" w:cs="Times New Roman" w:eastAsia="Times New Roman" w:hAnsi="Times New Roman"/>
          <w:sz w:val="18"/>
          <w:szCs w:val="18"/>
          <w:b w:val="1"/>
          <w:bCs w:val="1"/>
          <w:u w:val="single" w:color="auto"/>
          <w:color w:val="auto"/>
        </w:rPr>
        <w:t>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KINGSTONE COMPANIES, INC. AND SUBSIDIARIES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39"/>
        </w:trPr>
        <w:tc>
          <w:tcPr>
            <w:tcW w:w="8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2"/>
        </w:trPr>
        <w:tc>
          <w:tcPr>
            <w:tcW w:w="8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Fixed-maturity securities, held-to-maturity, at amortized cost (fair value of $5,053,137 at March 31, 2026 and</w:t>
            </w: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6,041,016</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6,042,348</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$5,137,267 at December 31, 2025)</w:t>
            </w:r>
          </w:p>
        </w:tc>
        <w:tc>
          <w:tcPr>
            <w:tcW w:w="24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Fixed-maturity securities, available-for-sale, at fair value (amortized cost of $304,102,884 at March 31, 2026 and</w:t>
            </w:r>
          </w:p>
        </w:tc>
        <w:tc>
          <w:tcPr>
            <w:tcW w:w="24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293,800,426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289,037,190</w:t>
            </w:r>
          </w:p>
        </w:tc>
        <w:tc>
          <w:tcPr>
            <w:tcW w:w="0" w:type="dxa"/>
            <w:vAlign w:val="bottom"/>
          </w:tcPr>
          <w:p>
            <w:pPr>
              <w:spacing w:after="0"/>
              <w:rPr>
                <w:sz w:val="1"/>
                <w:szCs w:val="1"/>
                <w:color w:val="auto"/>
              </w:rPr>
            </w:pPr>
          </w:p>
        </w:tc>
      </w:tr>
      <w:tr>
        <w:trPr>
          <w:trHeight w:val="220"/>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$296,738,055 at December 31, 2025)</w:t>
            </w:r>
          </w:p>
        </w:tc>
        <w:tc>
          <w:tcPr>
            <w:tcW w:w="2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securities, at fair value (cost of $13,546,654 at March 31, 2026 and $13,546,654 at December 31, 2025)</w:t>
            </w: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9,839,800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10,056,595</w:t>
            </w:r>
          </w:p>
        </w:tc>
        <w:tc>
          <w:tcPr>
            <w:tcW w:w="0" w:type="dxa"/>
            <w:vAlign w:val="bottom"/>
          </w:tcPr>
          <w:p>
            <w:pPr>
              <w:spacing w:after="0"/>
              <w:rPr>
                <w:sz w:val="1"/>
                <w:szCs w:val="1"/>
                <w:color w:val="auto"/>
              </w:rPr>
            </w:pPr>
          </w:p>
        </w:tc>
      </w:tr>
      <w:tr>
        <w:trPr>
          <w:trHeight w:val="210"/>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investments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3,756,749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4,552,378</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investments</w:t>
            </w: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313,437,991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309,688,511</w:t>
            </w:r>
          </w:p>
        </w:tc>
        <w:tc>
          <w:tcPr>
            <w:tcW w:w="0" w:type="dxa"/>
            <w:vAlign w:val="bottom"/>
          </w:tcPr>
          <w:p>
            <w:pPr>
              <w:spacing w:after="0"/>
              <w:rPr>
                <w:sz w:val="1"/>
                <w:szCs w:val="1"/>
                <w:color w:val="auto"/>
              </w:rPr>
            </w:pPr>
          </w:p>
        </w:tc>
      </w:tr>
      <w:tr>
        <w:trPr>
          <w:trHeight w:val="210"/>
        </w:trPr>
        <w:tc>
          <w:tcPr>
            <w:tcW w:w="81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11,355,391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12,178,730</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Premiums receivable, net of allowance for credit losses of $53,299 at March 31, 2026, and $20,631 at December 31,</w:t>
            </w:r>
          </w:p>
        </w:tc>
        <w:tc>
          <w:tcPr>
            <w:tcW w:w="24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19,027,968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21,012,408</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Reinsurance receivables, net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57,996,924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58,996,945</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reinsurance</w:t>
            </w: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4,934,974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2,142,329</w:t>
            </w:r>
          </w:p>
        </w:tc>
        <w:tc>
          <w:tcPr>
            <w:tcW w:w="0" w:type="dxa"/>
            <w:vAlign w:val="bottom"/>
          </w:tcPr>
          <w:p>
            <w:pPr>
              <w:spacing w:after="0"/>
              <w:rPr>
                <w:sz w:val="1"/>
                <w:szCs w:val="1"/>
                <w:color w:val="auto"/>
              </w:rPr>
            </w:pPr>
          </w:p>
        </w:tc>
      </w:tr>
      <w:tr>
        <w:trPr>
          <w:trHeight w:val="210"/>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policy acquisition costs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27,799,748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27,867,207</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Intangible assets</w:t>
            </w: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0" w:type="dxa"/>
            <w:vAlign w:val="bottom"/>
          </w:tcPr>
          <w:p>
            <w:pPr>
              <w:spacing w:after="0"/>
              <w:rPr>
                <w:sz w:val="1"/>
                <w:szCs w:val="1"/>
                <w:color w:val="auto"/>
              </w:rPr>
            </w:pPr>
          </w:p>
        </w:tc>
      </w:tr>
      <w:tr>
        <w:trPr>
          <w:trHeight w:val="210"/>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8,017,975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7,897,675</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6,318,887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4,179,559</w:t>
            </w:r>
          </w:p>
        </w:tc>
        <w:tc>
          <w:tcPr>
            <w:tcW w:w="0" w:type="dxa"/>
            <w:vAlign w:val="bottom"/>
          </w:tcPr>
          <w:p>
            <w:pPr>
              <w:spacing w:after="0"/>
              <w:rPr>
                <w:sz w:val="1"/>
                <w:szCs w:val="1"/>
                <w:color w:val="auto"/>
              </w:rPr>
            </w:pPr>
          </w:p>
        </w:tc>
      </w:tr>
      <w:tr>
        <w:trPr>
          <w:trHeight w:val="210"/>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15,949,185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8,961,787</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465,339,043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453,425,151</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8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and loss adjustment expense reserves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171,748,662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140,538,618</w:t>
            </w:r>
          </w:p>
        </w:tc>
        <w:tc>
          <w:tcPr>
            <w:tcW w:w="0" w:type="dxa"/>
            <w:vAlign w:val="bottom"/>
          </w:tcPr>
          <w:p>
            <w:pPr>
              <w:spacing w:after="0"/>
              <w:rPr>
                <w:sz w:val="1"/>
                <w:szCs w:val="1"/>
                <w:color w:val="auto"/>
              </w:rPr>
            </w:pPr>
          </w:p>
        </w:tc>
      </w:tr>
      <w:tr>
        <w:trPr>
          <w:trHeight w:val="210"/>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Unearned premiums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153,642,731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154,028,072</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Advance premiums</w:t>
            </w: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5,897,368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4,003,453</w:t>
            </w:r>
          </w:p>
        </w:tc>
        <w:tc>
          <w:tcPr>
            <w:tcW w:w="0" w:type="dxa"/>
            <w:vAlign w:val="bottom"/>
          </w:tcPr>
          <w:p>
            <w:pPr>
              <w:spacing w:after="0"/>
              <w:rPr>
                <w:sz w:val="1"/>
                <w:szCs w:val="1"/>
                <w:color w:val="auto"/>
              </w:rPr>
            </w:pPr>
          </w:p>
        </w:tc>
      </w:tr>
      <w:tr>
        <w:trPr>
          <w:trHeight w:val="210"/>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Reinsurance balances payable</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4,775,176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5,232,319</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ceding commission revenue</w:t>
            </w: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2,818,444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8,362,529</w:t>
            </w:r>
          </w:p>
        </w:tc>
        <w:tc>
          <w:tcPr>
            <w:tcW w:w="0" w:type="dxa"/>
            <w:vAlign w:val="bottom"/>
          </w:tcPr>
          <w:p>
            <w:pPr>
              <w:spacing w:after="0"/>
              <w:rPr>
                <w:sz w:val="1"/>
                <w:szCs w:val="1"/>
                <w:color w:val="auto"/>
              </w:rPr>
            </w:pPr>
          </w:p>
        </w:tc>
      </w:tr>
      <w:tr>
        <w:trPr>
          <w:trHeight w:val="210"/>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4,984,969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11,253,649</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2,844,212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2,835,135</w:t>
            </w:r>
          </w:p>
        </w:tc>
        <w:tc>
          <w:tcPr>
            <w:tcW w:w="0" w:type="dxa"/>
            <w:vAlign w:val="bottom"/>
          </w:tcPr>
          <w:p>
            <w:pPr>
              <w:spacing w:after="0"/>
              <w:rPr>
                <w:sz w:val="1"/>
                <w:szCs w:val="1"/>
                <w:color w:val="auto"/>
              </w:rPr>
            </w:pPr>
          </w:p>
        </w:tc>
      </w:tr>
      <w:tr>
        <w:trPr>
          <w:trHeight w:val="189"/>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Debt, net (current $1,315,984 and long-term $2,806,987 at March 31, 2026, current $1,296,900 and long-term</w:t>
            </w:r>
          </w:p>
        </w:tc>
        <w:tc>
          <w:tcPr>
            <w:tcW w:w="24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4,122,971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4,440,127</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$3,143,227 at December 31, 2025)</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350,834,533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330,693,902</w:t>
            </w:r>
          </w:p>
        </w:tc>
        <w:tc>
          <w:tcPr>
            <w:tcW w:w="0" w:type="dxa"/>
            <w:vAlign w:val="bottom"/>
          </w:tcPr>
          <w:p>
            <w:pPr>
              <w:spacing w:after="0"/>
              <w:rPr>
                <w:sz w:val="1"/>
                <w:szCs w:val="1"/>
                <w:color w:val="auto"/>
              </w:rPr>
            </w:pPr>
          </w:p>
        </w:tc>
      </w:tr>
      <w:tr>
        <w:trPr>
          <w:trHeight w:val="212"/>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11)</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$0.01 par value; authorized 2,500,000 shares</w:t>
            </w:r>
          </w:p>
        </w:tc>
        <w:tc>
          <w:tcPr>
            <w:tcW w:w="2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 $0.01 par value; authorized 20,000,000 shares; issued 16,006,728 shares at March 31, 2026 and</w:t>
            </w: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100" w:type="dxa"/>
            <w:vAlign w:val="bottom"/>
            <w:shd w:val="clear" w:color="auto" w:fill="CCEEFF"/>
          </w:tcPr>
          <w:p>
            <w:pPr>
              <w:ind w:left="220"/>
              <w:spacing w:after="0" w:line="175" w:lineRule="exact"/>
              <w:rPr>
                <w:sz w:val="20"/>
                <w:szCs w:val="20"/>
                <w:color w:val="auto"/>
              </w:rPr>
            </w:pPr>
            <w:r>
              <w:rPr>
                <w:rFonts w:ascii="Times New Roman" w:cs="Times New Roman" w:eastAsia="Times New Roman" w:hAnsi="Times New Roman"/>
                <w:sz w:val="16"/>
                <w:szCs w:val="16"/>
                <w:color w:val="auto"/>
              </w:rPr>
              <w:t>15,921,651 shares at December 31, 2025; outstanding 14,482,603 shares at March 31, 2026 and 14,397,526 shares at</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December 31, 2025</w:t>
            </w: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160,066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159,216</w:t>
            </w:r>
          </w:p>
        </w:tc>
        <w:tc>
          <w:tcPr>
            <w:tcW w:w="0" w:type="dxa"/>
            <w:vAlign w:val="bottom"/>
          </w:tcPr>
          <w:p>
            <w:pPr>
              <w:spacing w:after="0"/>
              <w:rPr>
                <w:sz w:val="1"/>
                <w:szCs w:val="1"/>
                <w:color w:val="auto"/>
              </w:rPr>
            </w:pPr>
          </w:p>
        </w:tc>
      </w:tr>
      <w:tr>
        <w:trPr>
          <w:trHeight w:val="210"/>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in excess of par</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99,982,907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99,624,713</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(8,136,787)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(6,081,530)</w:t>
            </w:r>
          </w:p>
        </w:tc>
        <w:tc>
          <w:tcPr>
            <w:tcW w:w="0" w:type="dxa"/>
            <w:vAlign w:val="bottom"/>
          </w:tcPr>
          <w:p>
            <w:pPr>
              <w:spacing w:after="0"/>
              <w:rPr>
                <w:sz w:val="1"/>
                <w:szCs w:val="1"/>
                <w:color w:val="auto"/>
              </w:rPr>
            </w:pPr>
          </w:p>
        </w:tc>
      </w:tr>
      <w:tr>
        <w:trPr>
          <w:trHeight w:val="210"/>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28,066,331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34,596,857</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 before treasury stock</w:t>
            </w:r>
          </w:p>
        </w:tc>
        <w:tc>
          <w:tcPr>
            <w:tcW w:w="2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120,072,517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128,299,256</w:t>
            </w:r>
          </w:p>
        </w:tc>
        <w:tc>
          <w:tcPr>
            <w:tcW w:w="0" w:type="dxa"/>
            <w:vAlign w:val="bottom"/>
          </w:tcPr>
          <w:p>
            <w:pPr>
              <w:spacing w:after="0"/>
              <w:rPr>
                <w:sz w:val="1"/>
                <w:szCs w:val="1"/>
                <w:color w:val="auto"/>
              </w:rPr>
            </w:pPr>
          </w:p>
        </w:tc>
      </w:tr>
      <w:tr>
        <w:trPr>
          <w:trHeight w:val="210"/>
        </w:trPr>
        <w:tc>
          <w:tcPr>
            <w:tcW w:w="8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Treasury stock, at cost, 1,524,125 shares at March 31, 2026 and 1,524,125 at December 31, 2025</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(5,568,007)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(5,568,007)</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114,504,510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122,731,249</w:t>
            </w:r>
          </w:p>
        </w:tc>
        <w:tc>
          <w:tcPr>
            <w:tcW w:w="0" w:type="dxa"/>
            <w:vAlign w:val="bottom"/>
          </w:tcPr>
          <w:p>
            <w:pPr>
              <w:spacing w:after="0"/>
              <w:rPr>
                <w:sz w:val="1"/>
                <w:szCs w:val="1"/>
                <w:color w:val="auto"/>
              </w:rPr>
            </w:pPr>
          </w:p>
        </w:tc>
      </w:tr>
      <w:tr>
        <w:trPr>
          <w:trHeight w:val="204"/>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465,339,043</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453,425,151</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160020</wp:posOffset>
            </wp:positionV>
            <wp:extent cx="69780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78015" cy="8890"/>
                    </a:xfrm>
                    <a:prstGeom prst="rect">
                      <a:avLst/>
                    </a:prstGeom>
                    <a:noFill/>
                  </pic:spPr>
                </pic:pic>
              </a:graphicData>
            </a:graphic>
          </wp:anchor>
        </w:drawing>
      </w:r>
    </w:p>
    <w:p>
      <w:pPr>
        <w:spacing w:after="0" w:line="243"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p>
      <w:pPr>
        <w:spacing w:after="0" w:line="25"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79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31"/>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premiums earned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55,868,814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43,523,063</w:t>
            </w:r>
          </w:p>
        </w:tc>
        <w:tc>
          <w:tcPr>
            <w:tcW w:w="0" w:type="dxa"/>
            <w:vAlign w:val="bottom"/>
          </w:tcPr>
          <w:p>
            <w:pPr>
              <w:spacing w:after="0"/>
              <w:rPr>
                <w:sz w:val="1"/>
                <w:szCs w:val="1"/>
                <w:color w:val="auto"/>
              </w:rPr>
            </w:pPr>
          </w:p>
        </w:tc>
      </w:tr>
      <w:tr>
        <w:trPr>
          <w:trHeight w:val="210"/>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Ceding commission revenue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1,403,876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2,958,691</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investment income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3,337,581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2,048,596</w:t>
            </w:r>
          </w:p>
        </w:tc>
        <w:tc>
          <w:tcPr>
            <w:tcW w:w="0" w:type="dxa"/>
            <w:vAlign w:val="bottom"/>
          </w:tcPr>
          <w:p>
            <w:pPr>
              <w:spacing w:after="0"/>
              <w:rPr>
                <w:sz w:val="1"/>
                <w:szCs w:val="1"/>
                <w:color w:val="auto"/>
              </w:rPr>
            </w:pPr>
          </w:p>
        </w:tc>
      </w:tr>
      <w:tr>
        <w:trPr>
          <w:trHeight w:val="210"/>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losses on investments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(1,015,347)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(137,979)</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Realized gain on sale of real estate</w:t>
            </w:r>
          </w:p>
        </w:tc>
        <w:tc>
          <w:tcPr>
            <w:tcW w:w="3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1,965,989</w:t>
            </w:r>
          </w:p>
        </w:tc>
        <w:tc>
          <w:tcPr>
            <w:tcW w:w="0" w:type="dxa"/>
            <w:vAlign w:val="bottom"/>
          </w:tcPr>
          <w:p>
            <w:pPr>
              <w:spacing w:after="0"/>
              <w:rPr>
                <w:sz w:val="1"/>
                <w:szCs w:val="1"/>
                <w:color w:val="auto"/>
              </w:rPr>
            </w:pPr>
          </w:p>
        </w:tc>
      </w:tr>
      <w:tr>
        <w:trPr>
          <w:trHeight w:val="210"/>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income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140,415</w:t>
            </w:r>
          </w:p>
        </w:tc>
        <w:tc>
          <w:tcPr>
            <w:tcW w:w="0" w:type="dxa"/>
            <w:vAlign w:val="bottom"/>
          </w:tcPr>
          <w:p>
            <w:pPr>
              <w:spacing w:after="0"/>
              <w:rPr>
                <w:sz w:val="1"/>
                <w:szCs w:val="1"/>
                <w:color w:val="auto"/>
              </w:rPr>
            </w:pPr>
          </w:p>
        </w:tc>
      </w:tr>
      <w:tr>
        <w:trPr>
          <w:trHeight w:val="33"/>
        </w:trPr>
        <w:tc>
          <w:tcPr>
            <w:tcW w:w="7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revenues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59,775,736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50,498,775</w:t>
            </w:r>
          </w:p>
        </w:tc>
        <w:tc>
          <w:tcPr>
            <w:tcW w:w="0" w:type="dxa"/>
            <w:vAlign w:val="bottom"/>
          </w:tcPr>
          <w:p>
            <w:pPr>
              <w:spacing w:after="0"/>
              <w:rPr>
                <w:sz w:val="1"/>
                <w:szCs w:val="1"/>
                <w:color w:val="auto"/>
              </w:rPr>
            </w:pPr>
          </w:p>
        </w:tc>
      </w:tr>
      <w:tr>
        <w:trPr>
          <w:trHeight w:val="196"/>
        </w:trPr>
        <w:tc>
          <w:tcPr>
            <w:tcW w:w="79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and loss adjustment expenses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45,574,384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27,175,078</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Commission expense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10,195,412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9,312,880</w:t>
            </w:r>
          </w:p>
        </w:tc>
        <w:tc>
          <w:tcPr>
            <w:tcW w:w="0" w:type="dxa"/>
            <w:vAlign w:val="bottom"/>
          </w:tcPr>
          <w:p>
            <w:pPr>
              <w:spacing w:after="0"/>
              <w:rPr>
                <w:sz w:val="1"/>
                <w:szCs w:val="1"/>
                <w:color w:val="auto"/>
              </w:rPr>
            </w:pPr>
          </w:p>
        </w:tc>
      </w:tr>
      <w:tr>
        <w:trPr>
          <w:trHeight w:val="210"/>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underwriting expenses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8,361,273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7,405,422</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operating expenses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2,260,547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1,035,737</w:t>
            </w:r>
          </w:p>
        </w:tc>
        <w:tc>
          <w:tcPr>
            <w:tcW w:w="0" w:type="dxa"/>
            <w:vAlign w:val="bottom"/>
          </w:tcPr>
          <w:p>
            <w:pPr>
              <w:spacing w:after="0"/>
              <w:rPr>
                <w:sz w:val="1"/>
                <w:szCs w:val="1"/>
                <w:color w:val="auto"/>
              </w:rPr>
            </w:pPr>
          </w:p>
        </w:tc>
      </w:tr>
      <w:tr>
        <w:trPr>
          <w:trHeight w:val="210"/>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715,507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623,863</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227,454</w:t>
            </w:r>
          </w:p>
        </w:tc>
        <w:tc>
          <w:tcPr>
            <w:tcW w:w="0" w:type="dxa"/>
            <w:vAlign w:val="bottom"/>
          </w:tcPr>
          <w:p>
            <w:pPr>
              <w:spacing w:after="0"/>
              <w:rPr>
                <w:sz w:val="1"/>
                <w:szCs w:val="1"/>
                <w:color w:val="auto"/>
              </w:rPr>
            </w:pPr>
          </w:p>
        </w:tc>
      </w:tr>
      <w:tr>
        <w:trPr>
          <w:trHeight w:val="204"/>
        </w:trPr>
        <w:tc>
          <w:tcPr>
            <w:tcW w:w="79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expenses</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67,176,978</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45,780,434</w:t>
            </w:r>
          </w:p>
        </w:tc>
        <w:tc>
          <w:tcPr>
            <w:tcW w:w="0" w:type="dxa"/>
            <w:vAlign w:val="bottom"/>
          </w:tcPr>
          <w:p>
            <w:pPr>
              <w:spacing w:after="0"/>
              <w:rPr>
                <w:sz w:val="1"/>
                <w:szCs w:val="1"/>
                <w:color w:val="auto"/>
              </w:rPr>
            </w:pPr>
          </w:p>
        </w:tc>
      </w:tr>
      <w:tr>
        <w:trPr>
          <w:trHeight w:val="33"/>
        </w:trPr>
        <w:tc>
          <w:tcPr>
            <w:tcW w:w="7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income from operations before taxes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(7,401,242)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4,718,341</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(1,592,992)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835,681</w:t>
            </w:r>
          </w:p>
        </w:tc>
        <w:tc>
          <w:tcPr>
            <w:tcW w:w="0" w:type="dxa"/>
            <w:vAlign w:val="bottom"/>
          </w:tcPr>
          <w:p>
            <w:pPr>
              <w:spacing w:after="0"/>
              <w:rPr>
                <w:sz w:val="1"/>
                <w:szCs w:val="1"/>
                <w:color w:val="auto"/>
              </w:rPr>
            </w:pPr>
          </w:p>
        </w:tc>
      </w:tr>
      <w:tr>
        <w:trPr>
          <w:trHeight w:val="20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(5,808,250)</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3,882,660</w:t>
            </w:r>
          </w:p>
        </w:tc>
        <w:tc>
          <w:tcPr>
            <w:tcW w:w="0" w:type="dxa"/>
            <w:vAlign w:val="bottom"/>
          </w:tcPr>
          <w:p>
            <w:pPr>
              <w:spacing w:after="0"/>
              <w:rPr>
                <w:sz w:val="1"/>
                <w:szCs w:val="1"/>
                <w:color w:val="auto"/>
              </w:rPr>
            </w:pPr>
          </w:p>
        </w:tc>
      </w:tr>
      <w:tr>
        <w:trPr>
          <w:trHeight w:val="33"/>
        </w:trPr>
        <w:tc>
          <w:tcPr>
            <w:tcW w:w="7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(loss) income, net of tax</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(increase) decrease in net unrealized losses on available-for-sale-securities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(2,604,516)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2,812,432</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Reclassification adjustment for net realized losses included in net (loss) income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0" w:type="dxa"/>
            <w:vAlign w:val="bottom"/>
          </w:tcPr>
          <w:p>
            <w:pPr>
              <w:spacing w:after="0"/>
              <w:rPr>
                <w:sz w:val="1"/>
                <w:szCs w:val="1"/>
                <w:color w:val="auto"/>
              </w:rPr>
            </w:pPr>
          </w:p>
        </w:tc>
      </w:tr>
      <w:tr>
        <w:trPr>
          <w:trHeight w:val="204"/>
        </w:trPr>
        <w:tc>
          <w:tcPr>
            <w:tcW w:w="7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(increase) decrease in net unrealized losses</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(2,601,593)</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2,814,158</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 benefit (expense) related to items of other comprehensive (loss) income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546,336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(590,972)</w:t>
            </w:r>
          </w:p>
        </w:tc>
        <w:tc>
          <w:tcPr>
            <w:tcW w:w="0" w:type="dxa"/>
            <w:vAlign w:val="bottom"/>
          </w:tcPr>
          <w:p>
            <w:pPr>
              <w:spacing w:after="0"/>
              <w:rPr>
                <w:sz w:val="1"/>
                <w:szCs w:val="1"/>
                <w:color w:val="auto"/>
              </w:rPr>
            </w:pPr>
          </w:p>
        </w:tc>
      </w:tr>
      <w:tr>
        <w:trPr>
          <w:trHeight w:val="20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(loss) income, net of tax</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(2,055,257)</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2,223,186</w:t>
            </w:r>
          </w:p>
        </w:tc>
        <w:tc>
          <w:tcPr>
            <w:tcW w:w="0" w:type="dxa"/>
            <w:vAlign w:val="bottom"/>
          </w:tcPr>
          <w:p>
            <w:pPr>
              <w:spacing w:after="0"/>
              <w:rPr>
                <w:sz w:val="1"/>
                <w:szCs w:val="1"/>
                <w:color w:val="auto"/>
              </w:rPr>
            </w:pPr>
          </w:p>
        </w:tc>
      </w:tr>
      <w:tr>
        <w:trPr>
          <w:trHeight w:val="33"/>
        </w:trPr>
        <w:tc>
          <w:tcPr>
            <w:tcW w:w="7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(loss)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(7,863,507)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6,105,846</w:t>
            </w:r>
          </w:p>
        </w:tc>
        <w:tc>
          <w:tcPr>
            <w:tcW w:w="0" w:type="dxa"/>
            <w:vAlign w:val="bottom"/>
          </w:tcPr>
          <w:p>
            <w:pPr>
              <w:spacing w:after="0"/>
              <w:rPr>
                <w:sz w:val="1"/>
                <w:szCs w:val="1"/>
                <w:color w:val="auto"/>
              </w:rPr>
            </w:pPr>
          </w:p>
        </w:tc>
      </w:tr>
      <w:tr>
        <w:trPr>
          <w:trHeight w:val="31"/>
        </w:trPr>
        <w:tc>
          <w:tcPr>
            <w:tcW w:w="7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earnings per common share: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7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40" w:type="dxa"/>
            <w:vAlign w:val="bottom"/>
            <w:vMerge w:val="continue"/>
          </w:tcPr>
          <w:p>
            <w:pPr>
              <w:spacing w:after="0"/>
              <w:rPr>
                <w:sz w:val="16"/>
                <w:szCs w:val="16"/>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tcPr>
          <w:p>
            <w:pPr>
              <w:spacing w:after="0"/>
              <w:rPr>
                <w:sz w:val="16"/>
                <w:szCs w:val="16"/>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common shares outstanding</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7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14,453,747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13,472,404</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14,453,747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14,272,502</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79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79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Dividends declared and paid per common share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1"/>
        </w:trPr>
        <w:tc>
          <w:tcPr>
            <w:tcW w:w="7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120"/>
          </w:cols>
          <w:pgMar w:left="320" w:top="11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9" w:right="4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Accumulated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840" w:type="dxa"/>
            <w:vAlign w:val="bottom"/>
          </w:tcPr>
          <w:p>
            <w:pPr>
              <w:spacing w:after="0"/>
              <w:rPr>
                <w:sz w:val="15"/>
                <w:szCs w:val="15"/>
                <w:color w:val="auto"/>
              </w:rPr>
            </w:pPr>
          </w:p>
        </w:tc>
        <w:tc>
          <w:tcPr>
            <w:tcW w:w="1580" w:type="dxa"/>
            <w:vAlign w:val="bottom"/>
            <w:gridSpan w:val="6"/>
            <w:vMerge w:val="restart"/>
          </w:tcPr>
          <w:p>
            <w:pPr>
              <w:ind w:left="240"/>
              <w:spacing w:after="0"/>
              <w:rPr>
                <w:sz w:val="20"/>
                <w:szCs w:val="20"/>
                <w:color w:val="auto"/>
              </w:rPr>
            </w:pPr>
            <w:r>
              <w:rPr>
                <w:rFonts w:ascii="Times New Roman" w:cs="Times New Roman" w:eastAsia="Times New Roman" w:hAnsi="Times New Roman"/>
                <w:sz w:val="16"/>
                <w:szCs w:val="16"/>
                <w:color w:val="auto"/>
              </w:rPr>
              <w:t>Preferred Stock</w:t>
            </w:r>
          </w:p>
        </w:tc>
        <w:tc>
          <w:tcPr>
            <w:tcW w:w="1760" w:type="dxa"/>
            <w:vAlign w:val="bottom"/>
            <w:gridSpan w:val="4"/>
            <w:vMerge w:val="restart"/>
          </w:tcPr>
          <w:p>
            <w:pPr>
              <w:ind w:left="340"/>
              <w:spacing w:after="0"/>
              <w:rPr>
                <w:sz w:val="20"/>
                <w:szCs w:val="20"/>
                <w:color w:val="auto"/>
              </w:rPr>
            </w:pPr>
            <w:r>
              <w:rPr>
                <w:rFonts w:ascii="Times New Roman" w:cs="Times New Roman" w:eastAsia="Times New Roman" w:hAnsi="Times New Roman"/>
                <w:sz w:val="16"/>
                <w:szCs w:val="16"/>
                <w:color w:val="auto"/>
              </w:rPr>
              <w:t>Common Stock</w:t>
            </w:r>
          </w:p>
        </w:tc>
        <w:tc>
          <w:tcPr>
            <w:tcW w:w="1000" w:type="dxa"/>
            <w:vAlign w:val="bottom"/>
            <w:gridSpan w:val="2"/>
          </w:tcPr>
          <w:p>
            <w:pPr>
              <w:jc w:val="center"/>
              <w:ind w:right="120"/>
              <w:spacing w:after="0" w:line="175" w:lineRule="exact"/>
              <w:rPr>
                <w:sz w:val="20"/>
                <w:szCs w:val="20"/>
                <w:color w:val="auto"/>
              </w:rPr>
            </w:pPr>
            <w:r>
              <w:rPr>
                <w:rFonts w:ascii="Times New Roman" w:cs="Times New Roman" w:eastAsia="Times New Roman" w:hAnsi="Times New Roman"/>
                <w:sz w:val="16"/>
                <w:szCs w:val="16"/>
                <w:color w:val="auto"/>
              </w:rPr>
              <w:t>Capital</w:t>
            </w:r>
          </w:p>
        </w:tc>
        <w:tc>
          <w:tcPr>
            <w:tcW w:w="100" w:type="dxa"/>
            <w:vAlign w:val="bottom"/>
          </w:tcPr>
          <w:p>
            <w:pPr>
              <w:spacing w:after="0"/>
              <w:rPr>
                <w:sz w:val="15"/>
                <w:szCs w:val="15"/>
                <w:color w:val="auto"/>
              </w:rPr>
            </w:pPr>
          </w:p>
        </w:tc>
        <w:tc>
          <w:tcPr>
            <w:tcW w:w="1120" w:type="dxa"/>
            <w:vAlign w:val="bottom"/>
            <w:gridSpan w:val="2"/>
          </w:tcPr>
          <w:p>
            <w:pPr>
              <w:ind w:left="260"/>
              <w:spacing w:after="0" w:line="175" w:lineRule="exact"/>
              <w:rPr>
                <w:sz w:val="20"/>
                <w:szCs w:val="20"/>
                <w:color w:val="auto"/>
              </w:rPr>
            </w:pPr>
            <w:r>
              <w:rPr>
                <w:rFonts w:ascii="Times New Roman" w:cs="Times New Roman" w:eastAsia="Times New Roman" w:hAnsi="Times New Roman"/>
                <w:sz w:val="16"/>
                <w:szCs w:val="16"/>
                <w:color w:val="auto"/>
              </w:rPr>
              <w:t>Other</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gridSpan w:val="4"/>
            <w:vMerge w:val="restart"/>
          </w:tcPr>
          <w:p>
            <w:pPr>
              <w:ind w:left="380"/>
              <w:spacing w:after="0"/>
              <w:rPr>
                <w:sz w:val="20"/>
                <w:szCs w:val="20"/>
                <w:color w:val="auto"/>
              </w:rPr>
            </w:pPr>
            <w:r>
              <w:rPr>
                <w:rFonts w:ascii="Times New Roman" w:cs="Times New Roman" w:eastAsia="Times New Roman" w:hAnsi="Times New Roman"/>
                <w:sz w:val="16"/>
                <w:szCs w:val="16"/>
                <w:color w:val="auto"/>
              </w:rPr>
              <w:t>Treasury Stock</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840" w:type="dxa"/>
            <w:vAlign w:val="bottom"/>
          </w:tcPr>
          <w:p>
            <w:pPr>
              <w:spacing w:after="0"/>
              <w:rPr>
                <w:sz w:val="12"/>
                <w:szCs w:val="12"/>
                <w:color w:val="auto"/>
              </w:rPr>
            </w:pPr>
          </w:p>
        </w:tc>
        <w:tc>
          <w:tcPr>
            <w:tcW w:w="1580" w:type="dxa"/>
            <w:vAlign w:val="bottom"/>
            <w:gridSpan w:val="6"/>
            <w:vMerge w:val="continue"/>
          </w:tcPr>
          <w:p>
            <w:pPr>
              <w:spacing w:after="0"/>
              <w:rPr>
                <w:sz w:val="12"/>
                <w:szCs w:val="12"/>
                <w:color w:val="auto"/>
              </w:rPr>
            </w:pPr>
          </w:p>
        </w:tc>
        <w:tc>
          <w:tcPr>
            <w:tcW w:w="1760" w:type="dxa"/>
            <w:vAlign w:val="bottom"/>
            <w:gridSpan w:val="4"/>
            <w:vMerge w:val="continue"/>
          </w:tcPr>
          <w:p>
            <w:pPr>
              <w:spacing w:after="0"/>
              <w:rPr>
                <w:sz w:val="12"/>
                <w:szCs w:val="12"/>
                <w:color w:val="auto"/>
              </w:rPr>
            </w:pPr>
          </w:p>
        </w:tc>
        <w:tc>
          <w:tcPr>
            <w:tcW w:w="1000" w:type="dxa"/>
            <w:vAlign w:val="bottom"/>
            <w:gridSpan w:val="2"/>
            <w:vMerge w:val="restart"/>
          </w:tcPr>
          <w:p>
            <w:pPr>
              <w:jc w:val="center"/>
              <w:ind w:right="140"/>
              <w:spacing w:after="0" w:line="156" w:lineRule="exact"/>
              <w:rPr>
                <w:sz w:val="20"/>
                <w:szCs w:val="20"/>
                <w:color w:val="auto"/>
              </w:rPr>
            </w:pPr>
            <w:r>
              <w:rPr>
                <w:rFonts w:ascii="Times New Roman" w:cs="Times New Roman" w:eastAsia="Times New Roman" w:hAnsi="Times New Roman"/>
                <w:sz w:val="16"/>
                <w:szCs w:val="16"/>
                <w:color w:val="auto"/>
              </w:rPr>
              <w:t>in Excess</w:t>
            </w:r>
          </w:p>
        </w:tc>
        <w:tc>
          <w:tcPr>
            <w:tcW w:w="1220" w:type="dxa"/>
            <w:vAlign w:val="bottom"/>
            <w:gridSpan w:val="3"/>
            <w:vMerge w:val="restart"/>
          </w:tcPr>
          <w:p>
            <w:pPr>
              <w:jc w:val="right"/>
              <w:ind w:right="140"/>
              <w:spacing w:after="0" w:line="156" w:lineRule="exact"/>
              <w:rPr>
                <w:sz w:val="20"/>
                <w:szCs w:val="20"/>
                <w:color w:val="auto"/>
              </w:rPr>
            </w:pPr>
            <w:r>
              <w:rPr>
                <w:rFonts w:ascii="Times New Roman" w:cs="Times New Roman" w:eastAsia="Times New Roman" w:hAnsi="Times New Roman"/>
                <w:sz w:val="16"/>
                <w:szCs w:val="16"/>
                <w:color w:val="auto"/>
              </w:rPr>
              <w:t>Comprehensive</w:t>
            </w:r>
          </w:p>
        </w:tc>
        <w:tc>
          <w:tcPr>
            <w:tcW w:w="1040" w:type="dxa"/>
            <w:vAlign w:val="bottom"/>
            <w:gridSpan w:val="2"/>
            <w:vMerge w:val="restart"/>
          </w:tcPr>
          <w:p>
            <w:pPr>
              <w:ind w:left="200"/>
              <w:spacing w:after="0" w:line="156" w:lineRule="exact"/>
              <w:rPr>
                <w:sz w:val="20"/>
                <w:szCs w:val="20"/>
                <w:color w:val="auto"/>
              </w:rPr>
            </w:pPr>
            <w:r>
              <w:rPr>
                <w:rFonts w:ascii="Times New Roman" w:cs="Times New Roman" w:eastAsia="Times New Roman" w:hAnsi="Times New Roman"/>
                <w:sz w:val="16"/>
                <w:szCs w:val="16"/>
                <w:color w:val="auto"/>
              </w:rPr>
              <w:t>Retained</w:t>
            </w:r>
          </w:p>
        </w:tc>
        <w:tc>
          <w:tcPr>
            <w:tcW w:w="1820" w:type="dxa"/>
            <w:vAlign w:val="bottom"/>
            <w:gridSpan w:val="4"/>
            <w:vMerge w:val="continue"/>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5"/>
              </w:rPr>
              <w:t>Amount</w:t>
            </w:r>
          </w:p>
        </w:tc>
        <w:tc>
          <w:tcPr>
            <w:tcW w:w="80" w:type="dxa"/>
            <w:vAlign w:val="bottom"/>
          </w:tcPr>
          <w:p>
            <w:pPr>
              <w:spacing w:after="0"/>
              <w:rPr>
                <w:sz w:val="20"/>
                <w:szCs w:val="20"/>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Shares</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20"/>
                <w:szCs w:val="20"/>
                <w:color w:val="auto"/>
              </w:rPr>
            </w:pP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of Par</w:t>
            </w:r>
          </w:p>
        </w:tc>
        <w:tc>
          <w:tcPr>
            <w:tcW w:w="100" w:type="dxa"/>
            <w:vAlign w:val="bottom"/>
          </w:tcPr>
          <w:p>
            <w:pPr>
              <w:spacing w:after="0"/>
              <w:rPr>
                <w:sz w:val="20"/>
                <w:szCs w:val="20"/>
                <w:color w:val="auto"/>
              </w:rPr>
            </w:pPr>
          </w:p>
        </w:tc>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Loss</w:t>
            </w: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Earnings</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20"/>
                <w:szCs w:val="20"/>
                <w:color w:val="auto"/>
              </w:rPr>
            </w:pPr>
          </w:p>
        </w:tc>
        <w:tc>
          <w:tcPr>
            <w:tcW w:w="9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23"/>
        </w:trPr>
        <w:tc>
          <w:tcPr>
            <w:tcW w:w="1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January 1, 2026</w:t>
            </w:r>
          </w:p>
        </w:tc>
        <w:tc>
          <w:tcPr>
            <w:tcW w:w="5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15,921,651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$ 159,216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$ 99,624,713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(6,081,530)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$ 34,596,857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1,524,125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$(5,568,007)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$122,731,249</w:t>
            </w:r>
          </w:p>
        </w:tc>
        <w:tc>
          <w:tcPr>
            <w:tcW w:w="0" w:type="dxa"/>
            <w:vAlign w:val="bottom"/>
          </w:tcPr>
          <w:p>
            <w:pPr>
              <w:spacing w:after="0"/>
              <w:rPr>
                <w:sz w:val="1"/>
                <w:szCs w:val="1"/>
                <w:color w:val="auto"/>
              </w:rPr>
            </w:pPr>
          </w:p>
        </w:tc>
      </w:tr>
      <w:tr>
        <w:trPr>
          <w:trHeight w:val="21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653,984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653,984</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74,571</w:t>
            </w:r>
          </w:p>
        </w:tc>
        <w:tc>
          <w:tcPr>
            <w:tcW w:w="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deducted from</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42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restricted stock awards for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payment of withholding</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(20,357)</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(335,985)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(336,189)</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30,863</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40,941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41,249</w:t>
            </w:r>
          </w:p>
        </w:tc>
        <w:tc>
          <w:tcPr>
            <w:tcW w:w="0" w:type="dxa"/>
            <w:vAlign w:val="bottom"/>
          </w:tcPr>
          <w:p>
            <w:pPr>
              <w:spacing w:after="0"/>
              <w:rPr>
                <w:sz w:val="1"/>
                <w:szCs w:val="1"/>
                <w:color w:val="auto"/>
              </w:rPr>
            </w:pPr>
          </w:p>
        </w:tc>
      </w:tr>
      <w:tr>
        <w:trPr>
          <w:trHeight w:val="21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Dividends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(722,276)</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(722,276)</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(5,808,250)</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(5,808,250)</w:t>
            </w:r>
          </w:p>
        </w:tc>
        <w:tc>
          <w:tcPr>
            <w:tcW w:w="0" w:type="dxa"/>
            <w:vAlign w:val="bottom"/>
          </w:tcPr>
          <w:p>
            <w:pPr>
              <w:spacing w:after="0"/>
              <w:rPr>
                <w:sz w:val="1"/>
                <w:szCs w:val="1"/>
                <w:color w:val="auto"/>
              </w:rPr>
            </w:pPr>
          </w:p>
        </w:tc>
      </w:tr>
      <w:tr>
        <w:trPr>
          <w:trHeight w:val="189"/>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Increase in net unrealized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2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losses on available-for-sale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securities, net of tax</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(2,055,257)</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(2,055,257)</w:t>
            </w:r>
          </w:p>
        </w:tc>
        <w:tc>
          <w:tcPr>
            <w:tcW w:w="0" w:type="dxa"/>
            <w:vAlign w:val="bottom"/>
          </w:tcPr>
          <w:p>
            <w:pPr>
              <w:spacing w:after="0"/>
              <w:rPr>
                <w:sz w:val="1"/>
                <w:szCs w:val="1"/>
                <w:color w:val="auto"/>
              </w:rPr>
            </w:pPr>
          </w:p>
        </w:tc>
      </w:tr>
      <w:tr>
        <w:trPr>
          <w:trHeight w:val="33"/>
        </w:trPr>
        <w:tc>
          <w:tcPr>
            <w:tcW w:w="18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2026</w:t>
            </w: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16,006,728</w:t>
            </w: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$ 160,066</w:t>
            </w: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$ 99,982,907</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(8,136,787)</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$ 28,066,331</w:t>
            </w: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1,524,125</w:t>
            </w: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$(5,568,007)</w:t>
            </w: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$114,504,510</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KINGSTONE COMPANIES, INC. AND SUBSIDIARIES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Accumulated</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1600" w:type="dxa"/>
            <w:vAlign w:val="bottom"/>
            <w:gridSpan w:val="6"/>
            <w:vMerge w:val="restart"/>
          </w:tcPr>
          <w:p>
            <w:pPr>
              <w:ind w:left="240"/>
              <w:spacing w:after="0"/>
              <w:rPr>
                <w:sz w:val="20"/>
                <w:szCs w:val="20"/>
                <w:color w:val="auto"/>
              </w:rPr>
            </w:pPr>
            <w:r>
              <w:rPr>
                <w:rFonts w:ascii="Times New Roman" w:cs="Times New Roman" w:eastAsia="Times New Roman" w:hAnsi="Times New Roman"/>
                <w:sz w:val="16"/>
                <w:szCs w:val="16"/>
                <w:color w:val="auto"/>
              </w:rPr>
              <w:t>Preferred Stock</w:t>
            </w:r>
          </w:p>
        </w:tc>
        <w:tc>
          <w:tcPr>
            <w:tcW w:w="1760" w:type="dxa"/>
            <w:vAlign w:val="bottom"/>
            <w:gridSpan w:val="4"/>
            <w:vMerge w:val="restart"/>
          </w:tcPr>
          <w:p>
            <w:pPr>
              <w:ind w:left="320"/>
              <w:spacing w:after="0"/>
              <w:rPr>
                <w:sz w:val="20"/>
                <w:szCs w:val="20"/>
                <w:color w:val="auto"/>
              </w:rPr>
            </w:pPr>
            <w:r>
              <w:rPr>
                <w:rFonts w:ascii="Times New Roman" w:cs="Times New Roman" w:eastAsia="Times New Roman" w:hAnsi="Times New Roman"/>
                <w:sz w:val="16"/>
                <w:szCs w:val="16"/>
                <w:color w:val="auto"/>
              </w:rPr>
              <w:t>Common Stock</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9"/>
              </w:rPr>
              <w:t>Capital</w:t>
            </w:r>
          </w:p>
        </w:tc>
        <w:tc>
          <w:tcPr>
            <w:tcW w:w="10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8"/>
              </w:rPr>
              <w:t>Other</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4"/>
            <w:vMerge w:val="restart"/>
          </w:tcPr>
          <w:p>
            <w:pPr>
              <w:ind w:left="360"/>
              <w:spacing w:after="0"/>
              <w:rPr>
                <w:sz w:val="20"/>
                <w:szCs w:val="20"/>
                <w:color w:val="auto"/>
              </w:rPr>
            </w:pPr>
            <w:r>
              <w:rPr>
                <w:rFonts w:ascii="Times New Roman" w:cs="Times New Roman" w:eastAsia="Times New Roman" w:hAnsi="Times New Roman"/>
                <w:sz w:val="16"/>
                <w:szCs w:val="16"/>
                <w:color w:val="auto"/>
              </w:rPr>
              <w:t>Treasury Stock</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880" w:type="dxa"/>
            <w:vAlign w:val="bottom"/>
          </w:tcPr>
          <w:p>
            <w:pPr>
              <w:spacing w:after="0"/>
              <w:rPr>
                <w:sz w:val="11"/>
                <w:szCs w:val="11"/>
                <w:color w:val="auto"/>
              </w:rPr>
            </w:pPr>
          </w:p>
        </w:tc>
        <w:tc>
          <w:tcPr>
            <w:tcW w:w="1600" w:type="dxa"/>
            <w:vAlign w:val="bottom"/>
            <w:gridSpan w:val="6"/>
            <w:vMerge w:val="continue"/>
          </w:tcPr>
          <w:p>
            <w:pPr>
              <w:spacing w:after="0"/>
              <w:rPr>
                <w:sz w:val="11"/>
                <w:szCs w:val="11"/>
                <w:color w:val="auto"/>
              </w:rPr>
            </w:pPr>
          </w:p>
        </w:tc>
        <w:tc>
          <w:tcPr>
            <w:tcW w:w="1760" w:type="dxa"/>
            <w:vAlign w:val="bottom"/>
            <w:gridSpan w:val="4"/>
            <w:vMerge w:val="continue"/>
          </w:tcPr>
          <w:p>
            <w:pPr>
              <w:spacing w:after="0"/>
              <w:rPr>
                <w:sz w:val="11"/>
                <w:szCs w:val="11"/>
                <w:color w:val="auto"/>
              </w:rPr>
            </w:pPr>
          </w:p>
        </w:tc>
        <w:tc>
          <w:tcPr>
            <w:tcW w:w="1000" w:type="dxa"/>
            <w:vAlign w:val="bottom"/>
            <w:gridSpan w:val="2"/>
            <w:vMerge w:val="restart"/>
          </w:tcPr>
          <w:p>
            <w:pPr>
              <w:jc w:val="center"/>
              <w:ind w:right="140"/>
              <w:spacing w:after="0" w:line="142" w:lineRule="exact"/>
              <w:rPr>
                <w:sz w:val="20"/>
                <w:szCs w:val="20"/>
                <w:color w:val="auto"/>
              </w:rPr>
            </w:pPr>
            <w:r>
              <w:rPr>
                <w:rFonts w:ascii="Times New Roman" w:cs="Times New Roman" w:eastAsia="Times New Roman" w:hAnsi="Times New Roman"/>
                <w:sz w:val="16"/>
                <w:szCs w:val="16"/>
                <w:color w:val="auto"/>
              </w:rPr>
              <w:t>in Excess</w:t>
            </w:r>
          </w:p>
        </w:tc>
        <w:tc>
          <w:tcPr>
            <w:tcW w:w="12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6"/>
                <w:szCs w:val="16"/>
                <w:color w:val="auto"/>
              </w:rPr>
              <w:t>Comprehensive</w:t>
            </w:r>
          </w:p>
        </w:tc>
        <w:tc>
          <w:tcPr>
            <w:tcW w:w="1060" w:type="dxa"/>
            <w:vAlign w:val="bottom"/>
            <w:gridSpan w:val="3"/>
            <w:vMerge w:val="restart"/>
          </w:tcPr>
          <w:p>
            <w:pPr>
              <w:ind w:left="40"/>
              <w:spacing w:after="0" w:line="142" w:lineRule="exact"/>
              <w:rPr>
                <w:sz w:val="20"/>
                <w:szCs w:val="20"/>
                <w:color w:val="auto"/>
              </w:rPr>
            </w:pPr>
            <w:r>
              <w:rPr>
                <w:rFonts w:ascii="Times New Roman" w:cs="Times New Roman" w:eastAsia="Times New Roman" w:hAnsi="Times New Roman"/>
                <w:sz w:val="16"/>
                <w:szCs w:val="16"/>
                <w:color w:val="auto"/>
              </w:rPr>
              <w:t>Accumulated</w:t>
            </w:r>
          </w:p>
        </w:tc>
        <w:tc>
          <w:tcPr>
            <w:tcW w:w="1800" w:type="dxa"/>
            <w:vAlign w:val="bottom"/>
            <w:gridSpan w:val="4"/>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8"/>
              </w:rPr>
              <w:t>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Amount</w:t>
            </w:r>
          </w:p>
        </w:tc>
        <w:tc>
          <w:tcPr>
            <w:tcW w:w="80" w:type="dxa"/>
            <w:vAlign w:val="bottom"/>
          </w:tcPr>
          <w:p>
            <w:pPr>
              <w:spacing w:after="0"/>
              <w:rPr>
                <w:sz w:val="20"/>
                <w:szCs w:val="20"/>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Shares</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20"/>
                <w:szCs w:val="20"/>
                <w:color w:val="auto"/>
              </w:rPr>
            </w:pP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of Par</w:t>
            </w:r>
          </w:p>
        </w:tc>
        <w:tc>
          <w:tcPr>
            <w:tcW w:w="100" w:type="dxa"/>
            <w:vAlign w:val="bottom"/>
          </w:tcPr>
          <w:p>
            <w:pPr>
              <w:spacing w:after="0"/>
              <w:rPr>
                <w:sz w:val="20"/>
                <w:szCs w:val="20"/>
                <w:color w:val="auto"/>
              </w:rPr>
            </w:pPr>
          </w:p>
        </w:tc>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Loss</w:t>
            </w:r>
          </w:p>
        </w:tc>
        <w:tc>
          <w:tcPr>
            <w:tcW w:w="14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Deficit</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Amount</w:t>
            </w:r>
          </w:p>
        </w:tc>
        <w:tc>
          <w:tcPr>
            <w:tcW w:w="80" w:type="dxa"/>
            <w:vAlign w:val="bottom"/>
          </w:tcPr>
          <w:p>
            <w:pPr>
              <w:spacing w:after="0"/>
              <w:rPr>
                <w:sz w:val="20"/>
                <w:szCs w:val="20"/>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23"/>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January 1, 2025</w:t>
            </w:r>
          </w:p>
        </w:tc>
        <w:tc>
          <w:tcPr>
            <w:tcW w:w="5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14,448,205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$ 144,482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$ 89,063,326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(12,175,476)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(4,755,874)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1,524,125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$(5,568,007)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$ 66,708,451</w:t>
            </w:r>
          </w:p>
        </w:tc>
        <w:tc>
          <w:tcPr>
            <w:tcW w:w="0" w:type="dxa"/>
            <w:vAlign w:val="bottom"/>
          </w:tcPr>
          <w:p>
            <w:pPr>
              <w:spacing w:after="0"/>
              <w:rPr>
                <w:sz w:val="1"/>
                <w:szCs w:val="1"/>
                <w:color w:val="auto"/>
              </w:rPr>
            </w:pPr>
          </w:p>
        </w:tc>
      </w:tr>
      <w:tr>
        <w:trPr>
          <w:trHeight w:val="21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339,010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339,010</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212,892</w:t>
            </w:r>
          </w:p>
        </w:tc>
        <w:tc>
          <w:tcPr>
            <w:tcW w:w="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deducted from</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stock awards for</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6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payment of withholding</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(34,740)</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(530,533)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(530,880)</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44,929</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55,700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56,149</w:t>
            </w:r>
          </w:p>
        </w:tc>
        <w:tc>
          <w:tcPr>
            <w:tcW w:w="0" w:type="dxa"/>
            <w:vAlign w:val="bottom"/>
          </w:tcPr>
          <w:p>
            <w:pPr>
              <w:spacing w:after="0"/>
              <w:rPr>
                <w:sz w:val="1"/>
                <w:szCs w:val="1"/>
                <w:color w:val="auto"/>
              </w:rPr>
            </w:pPr>
          </w:p>
        </w:tc>
      </w:tr>
      <w:tr>
        <w:trPr>
          <w:trHeight w:val="18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 deducted from</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stock awards for</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6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payment of withholding</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(14,305)</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of offering costs of</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612,999</w:t>
            </w:r>
          </w:p>
        </w:tc>
        <w:tc>
          <w:tcPr>
            <w:tcW w:w="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6,130</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9,539,562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9,545,692</w:t>
            </w:r>
          </w:p>
        </w:tc>
        <w:tc>
          <w:tcPr>
            <w:tcW w:w="0" w:type="dxa"/>
            <w:vAlign w:val="bottom"/>
          </w:tcPr>
          <w:p>
            <w:pPr>
              <w:spacing w:after="0"/>
              <w:rPr>
                <w:sz w:val="1"/>
                <w:szCs w:val="1"/>
                <w:color w:val="auto"/>
              </w:rPr>
            </w:pPr>
          </w:p>
        </w:tc>
      </w:tr>
      <w:tr>
        <w:trPr>
          <w:trHeight w:val="230"/>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$221,792</w:t>
            </w:r>
          </w:p>
        </w:tc>
        <w:tc>
          <w:tcPr>
            <w:tcW w:w="5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3,882,660</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3,882,660</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Decrease in net unrealized</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losses on available-for-sale</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2,223,186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2,223,186</w:t>
            </w:r>
          </w:p>
        </w:tc>
        <w:tc>
          <w:tcPr>
            <w:tcW w:w="0" w:type="dxa"/>
            <w:vAlign w:val="bottom"/>
          </w:tcPr>
          <w:p>
            <w:pPr>
              <w:spacing w:after="0"/>
              <w:rPr>
                <w:sz w:val="1"/>
                <w:szCs w:val="1"/>
                <w:color w:val="auto"/>
              </w:rPr>
            </w:pPr>
          </w:p>
        </w:tc>
      </w:tr>
      <w:tr>
        <w:trPr>
          <w:trHeight w:val="230"/>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net of tax</w:t>
            </w:r>
          </w:p>
        </w:tc>
        <w:tc>
          <w:tcPr>
            <w:tcW w:w="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March 31, 2025</w:t>
            </w:r>
          </w:p>
        </w:tc>
        <w:tc>
          <w:tcPr>
            <w:tcW w:w="5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15,283,417</w:t>
            </w:r>
          </w:p>
        </w:tc>
        <w:tc>
          <w:tcPr>
            <w:tcW w:w="8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$ 152,834</w:t>
            </w:r>
          </w:p>
        </w:tc>
        <w:tc>
          <w:tcPr>
            <w:tcW w:w="8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$ 98,450,640</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(9,952,290)</w:t>
            </w:r>
          </w:p>
        </w:tc>
        <w:tc>
          <w:tcPr>
            <w:tcW w:w="80" w:type="dxa"/>
            <w:vAlign w:val="bottom"/>
          </w:tcPr>
          <w:p>
            <w:pPr>
              <w:spacing w:after="0"/>
              <w:rPr>
                <w:sz w:val="17"/>
                <w:szCs w:val="17"/>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(873,214)</w:t>
            </w:r>
          </w:p>
        </w:tc>
        <w:tc>
          <w:tcPr>
            <w:tcW w:w="8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1,524,125</w:t>
            </w:r>
          </w:p>
        </w:tc>
        <w:tc>
          <w:tcPr>
            <w:tcW w:w="8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$(5,568,007)</w:t>
            </w:r>
          </w:p>
        </w:tc>
        <w:tc>
          <w:tcPr>
            <w:tcW w:w="8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$ 82,209,963</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KINGSTONE COMPANIES, INC. AND SUBSIDIARIES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Three months ended March 31,</w:t>
            </w: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31"/>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(5,808,250)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3,882,660</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income to net cash flows provided by operating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realized losses on investments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w:t>
            </w:r>
          </w:p>
        </w:tc>
      </w:tr>
      <w:tr>
        <w:trPr>
          <w:trHeight w:val="210"/>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unrealized losses on equity investments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193,330</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unrealized losses (gains) on other investments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795,629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(57,077)</w:t>
            </w:r>
          </w:p>
        </w:tc>
      </w:tr>
      <w:tr>
        <w:trPr>
          <w:trHeight w:val="210"/>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on sale of real estate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(1,965,989)</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715,507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623,863</w:t>
            </w:r>
          </w:p>
        </w:tc>
      </w:tr>
      <w:tr>
        <w:trPr>
          <w:trHeight w:val="210"/>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Credit losses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42,617</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Accretion of bond discount, net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5,419</w:t>
            </w:r>
          </w:p>
        </w:tc>
      </w:tr>
      <w:tr>
        <w:trPr>
          <w:trHeight w:val="210"/>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discount and issuance costs on debt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62,757</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174,962</w:t>
            </w:r>
          </w:p>
        </w:tc>
      </w:tr>
      <w:tr>
        <w:trPr>
          <w:trHeight w:val="210"/>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653,984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339,010</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(1,592,992)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(125,822)</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Decrease (increase) in operating assets: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Premiums receivable, net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1,956,408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4,711,531</w:t>
            </w:r>
          </w:p>
        </w:tc>
      </w:tr>
      <w:tr>
        <w:trPr>
          <w:trHeight w:val="210"/>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Reinsurance receivables,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8,504,288</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reinsurance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(2,792,645)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policy acquisition costs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331,379</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(6,987,398)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303,613</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(decrease) in operating liabilities: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and loss adjustment expense reserves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31,210,044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9,124,295</w:t>
            </w:r>
          </w:p>
        </w:tc>
      </w:tr>
      <w:tr>
        <w:trPr>
          <w:trHeight w:val="210"/>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Unearned premiums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(385,341)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(2,470,381)</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Advance premiums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1,893,915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576,712</w:t>
            </w:r>
          </w:p>
        </w:tc>
      </w:tr>
      <w:tr>
        <w:trPr>
          <w:trHeight w:val="210"/>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Reinsurance balances payable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(457,143)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(4,693,173)</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ceding commission revenue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(5,544,085)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(4,456,192)</w:t>
            </w:r>
          </w:p>
        </w:tc>
      </w:tr>
      <w:tr>
        <w:trPr>
          <w:trHeight w:val="210"/>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(6,268,680)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1,397,437</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Taxes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1,350,342</w:t>
            </w:r>
          </w:p>
        </w:tc>
      </w:tr>
      <w:tr>
        <w:trPr>
          <w:trHeight w:val="20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flows provided by operating activities</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8,714,486</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17,857,307</w:t>
            </w:r>
          </w:p>
        </w:tc>
      </w:tr>
      <w:tr>
        <w:trPr>
          <w:trHeight w:val="3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12"/>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1"/>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 fixed-maturity securities available-for-sale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(13,475,699)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(21,250,155)</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 and maturity - fixed-maturity securities available-for-sale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6,108,053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6,669,556</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real estate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3,600,000</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of property and equipment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(835,807)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(863,468)</w:t>
            </w:r>
          </w:p>
        </w:tc>
      </w:tr>
      <w:tr>
        <w:trPr>
          <w:trHeight w:val="3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flows used in 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(8,203,453)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(11,844,067)</w:t>
            </w:r>
          </w:p>
        </w:tc>
      </w:tr>
      <w:tr>
        <w:trPr>
          <w:trHeight w:val="237"/>
        </w:trPr>
        <w:tc>
          <w:tcPr>
            <w:tcW w:w="81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payments on equipment financing</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(317,156)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(299,155)</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payments on 2024 Notes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(5,950,000)</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56,149</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Withholding taxes paid on net exercise of stock options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(14,305)</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Withholding taxes paid on vested restricted stock awards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(336,189)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(530,880)</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proceeds from issuance of common stock</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9,545,692</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paid</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(722,276)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flows (used in) provided by 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(1,334,372)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2,807,501</w:t>
            </w:r>
          </w:p>
        </w:tc>
      </w:tr>
      <w:tr>
        <w:trPr>
          <w:trHeight w:val="236"/>
        </w:trPr>
        <w:tc>
          <w:tcPr>
            <w:tcW w:w="81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(Decrease) increase in cash and cash equivalents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(823,339)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8,820,741</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12,178,730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28,669,441</w:t>
            </w:r>
          </w:p>
        </w:tc>
      </w:tr>
      <w:tr>
        <w:trPr>
          <w:trHeight w:val="3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11,355,391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37,490,182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income taxes-federal</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income taxes-state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63,476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1,370,448</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12"/>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schedule of non-cash investing and financing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1"/>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(2,055,257)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2,223,186</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liability in exchange for right-of-use asset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198,042</w:t>
            </w:r>
          </w:p>
        </w:tc>
      </w:tr>
    </w:tbl>
    <w:p>
      <w:pPr>
        <w:sectPr>
          <w:pgSz w:w="11900" w:h="16838" w:orient="portrait"/>
          <w:cols w:equalWidth="0" w:num="1">
            <w:col w:w="11240"/>
          </w:cols>
          <w:pgMar w:left="320" w:top="119" w:right="339" w:bottom="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73"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KINGSTONE COMPANIES, INC. AND SUBSIDIARIES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 Nature of Business and Basis of Presentation</w:t>
      </w: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Kingstone Companies, Inc. (referred to herein as "Kingstone" or the “Company” or, on a standalone basis for the parent company only, the “Holding Company”), operates through its wholly-owned subsidiaries, Kingstone Insurance Company ("KICO") and Kingstone America Insurance Company ("KAIC"). KICO is a New York domiciled carrier writing business through retail and wholesale agents and brokers. KICO is actively writing personal lines and commercial auto insurance in New York, and in 2025 was the 11th largest writer of homeowners insurance in New York. KICO is also licensed in the states of New Jersey, Rhode Island, Massachusetts, Connecticut, Pennsylvania, New Hampshire, and Maine. For the three months ended March 31, 2026 and 2025, 98.7% and 98.3%, respectively, of KICO’s direct premiums written came from the New York policies. Kingstone, through its wholly-owned subsidiary, Cosi Agency, Inc. (“Cosi”), a multi-state licensed general agency, receives commission revenue from KICO for the policies it places with others and pays commissions to these agencies. KAIC is a Connecticut domiciled carrier which the Company plans to start writing business beginning in the second half of 2026.</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have been prepared in accordance with U.S. generally accepted accounting principles (“GAAP”). The principles for condensed interim financial information do not require the inclusion of all the information and footnotes required by GAAP for complete financial statements. Therefore, these condensed consolidated financial statements should be read in conjunction with the consolidated financial statements as of and for the year ended December 31, 2025 and notes thereto included in the Company’s Annual Report on Form 10-K filed with the Securities and Exchange Commission (the “SEC”) on March 16, 2026. The accompanying condensed consolidated financial statements have not been audited by an independent registered public accounting firm in accordance with standards of the Public Company Accounting Oversight Board (United States) but, in the opinion of management, such financial statements include all adjustments, consisting only of normal recurring adjustments, necessary for a fair presentation of the Company’s financial position and results of operations. The results of operations for the three months ended March 31, 2026 may not be indicative of the results that may be expected for the year ending December 31, 2026.</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Accounting Policies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Basis of Presentation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 2 to the Consolidated Financial Statements in the Company’s Annual Report on Form 10-K for the year ended December 31, 2025 for further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Principles of Consolidation</w:t>
      </w:r>
    </w:p>
    <w:p>
      <w:pPr>
        <w:spacing w:after="0" w:line="22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condensed consolidated financial statements include the accounts of Kingstone and its wholly-owned subsidiaries: (1) KICO and its wholly-owned subsidiaries, CMIC Properties, Inc. (“Properties”) and 15 Joys Lane, LLC (“15 Joys Lane”), which together, until March 2025, owned the land and building from which KICO operated (see Note 14 - Sale of Real Estate), (2) KAIC, an insurance carrier licensed by the state of Connecticut on May 1, 2026, which the Company plans to begin writing business in the second half of 2026, and (3) Cosi. All significant inter-company account balances and transactions have been eliminated in consolidation.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Use of Estimates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these estimates and assumptions, and includes the reserves for losses and loss adjustment expense (“LAE”), which are subject to estimation errors due to the inherent uncertainty in projecting ultimate claim amounts that will be reported and settled over a period of many years. In addition, estimates and assumptions associated with loss and LAE recoverable under reinsurance contracts and other receivables or payable under reinsurance contracts related to contingent ceding commission revenue require judgments by management. On an ongoing basis, management reevaluates its assumptions and the methods for calculating these estimates. Actual results may differ significantly from the estimates used in preparing the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Accounting Changes</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In December 2023, the Financial Accounting Standards Board (the "FASB") issued Accounting Standards Update ("ASU") No. 2023-09, Improvements to Income Tax Disclosures (“ASU 2023-09”), which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ASU-2023-09 is effective for public companies with annual periods beginning after December 15, 2024. The Company prospectively adopted ASU-2023-09 effective December 31, 2025, and has added the required disclosures that meet the materiality thresholds for the three months ended March 31,</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2026. See Note 9 – Income Taxes. The adoption of the guidance updated disclosures but did not have an impact on the Company's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Recent Accounting Pronouncements</w:t>
      </w:r>
    </w:p>
    <w:p>
      <w:pPr>
        <w:spacing w:after="0" w:line="23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November 2024, the FASB issued ASU 2024-03, Disaggregation of Income Statement Expenses ("ASU 2024-03"). ASU 2024-03 requires disaggregated disclosure of income statement expenses. ASU 2024-03 does not change the expense captions currently presented on the income statement; rather it requires disaggregation of certain expense captions into specified categories in disclosures within the footnotes to the financial statements. ASU 2024-03 is effective for annual reporting periods, as amended by ASU 2025-01, beginning after December 15, 2026, and interim reporting periods within fiscal years beginning after December 15, 2027. ASU 2024-03 can be applied on a prospective basis; however, retrospective application is permitted. Early adoption is permitted. The Company is currently evaluating the effect the updated guidance will have on its financial statement disclosures.</w:t>
      </w:r>
    </w:p>
    <w:p>
      <w:pPr>
        <w:spacing w:after="0" w:line="18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 Investments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Fixed-Maturity Securities</w:t>
      </w:r>
    </w:p>
    <w:p>
      <w:pPr>
        <w:spacing w:after="0" w:line="23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amortized cost, estimated fair value, and gross unrealized gains and losses on investments in fixed-maturity securities classified as available-for-sale for which an allowance for credit losses has not been recorded, as of March 31, 2026 and December 31, 2025 are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5"/>
          </w:tcPr>
          <w:p>
            <w:pPr>
              <w:ind w:left="8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Cost or</w:t>
            </w:r>
          </w:p>
        </w:tc>
        <w:tc>
          <w:tcPr>
            <w:tcW w:w="160" w:type="dxa"/>
            <w:vAlign w:val="bottom"/>
          </w:tcPr>
          <w:p>
            <w:pPr>
              <w:spacing w:after="0"/>
              <w:rPr>
                <w:sz w:val="17"/>
                <w:szCs w:val="17"/>
                <w:color w:val="auto"/>
              </w:rPr>
            </w:pPr>
          </w:p>
        </w:tc>
        <w:tc>
          <w:tcPr>
            <w:tcW w:w="11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200" w:type="dxa"/>
            <w:vAlign w:val="bottom"/>
          </w:tcPr>
          <w:p>
            <w:pPr>
              <w:spacing w:after="0"/>
              <w:rPr>
                <w:sz w:val="17"/>
                <w:szCs w:val="17"/>
                <w:color w:val="auto"/>
              </w:rPr>
            </w:pPr>
          </w:p>
        </w:tc>
        <w:tc>
          <w:tcPr>
            <w:tcW w:w="288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Gross Unrealized Losses</w:t>
            </w:r>
          </w:p>
        </w:tc>
        <w:tc>
          <w:tcPr>
            <w:tcW w:w="240" w:type="dxa"/>
            <w:vAlign w:val="bottom"/>
          </w:tcPr>
          <w:p>
            <w:pPr>
              <w:spacing w:after="0"/>
              <w:rPr>
                <w:sz w:val="17"/>
                <w:szCs w:val="17"/>
                <w:color w:val="auto"/>
              </w:rPr>
            </w:pPr>
          </w:p>
        </w:tc>
        <w:tc>
          <w:tcPr>
            <w:tcW w:w="13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200" w:type="dxa"/>
            <w:vAlign w:val="bottom"/>
          </w:tcPr>
          <w:p>
            <w:pPr>
              <w:spacing w:after="0"/>
              <w:rPr>
                <w:sz w:val="17"/>
                <w:szCs w:val="17"/>
                <w:color w:val="auto"/>
              </w:rPr>
            </w:pPr>
          </w:p>
        </w:tc>
        <w:tc>
          <w:tcPr>
            <w:tcW w:w="116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31"/>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60"/>
              <w:spacing w:after="0" w:line="167" w:lineRule="exact"/>
              <w:rPr>
                <w:sz w:val="20"/>
                <w:szCs w:val="20"/>
                <w:color w:val="auto"/>
              </w:rPr>
            </w:pPr>
            <w:r>
              <w:rPr>
                <w:rFonts w:ascii="Times New Roman" w:cs="Times New Roman" w:eastAsia="Times New Roman" w:hAnsi="Times New Roman"/>
                <w:sz w:val="16"/>
                <w:szCs w:val="16"/>
                <w:b w:val="1"/>
                <w:bCs w:val="1"/>
                <w:color w:val="auto"/>
                <w:w w:val="98"/>
              </w:rPr>
              <w:t>Amortized</w:t>
            </w:r>
          </w:p>
        </w:tc>
        <w:tc>
          <w:tcPr>
            <w:tcW w:w="160" w:type="dxa"/>
            <w:vAlign w:val="bottom"/>
          </w:tcPr>
          <w:p>
            <w:pPr>
              <w:spacing w:after="0"/>
              <w:rPr>
                <w:sz w:val="14"/>
                <w:szCs w:val="14"/>
                <w:color w:val="auto"/>
              </w:rPr>
            </w:pPr>
          </w:p>
        </w:tc>
        <w:tc>
          <w:tcPr>
            <w:tcW w:w="1160" w:type="dxa"/>
            <w:vAlign w:val="bottom"/>
            <w:gridSpan w:val="2"/>
          </w:tcPr>
          <w:p>
            <w:pPr>
              <w:ind w:left="60"/>
              <w:spacing w:after="0" w:line="167"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0" w:type="dxa"/>
            <w:vAlign w:val="bottom"/>
          </w:tcPr>
          <w:p>
            <w:pPr>
              <w:spacing w:after="0"/>
              <w:rPr>
                <w:sz w:val="14"/>
                <w:szCs w:val="14"/>
                <w:color w:val="auto"/>
              </w:rPr>
            </w:pPr>
          </w:p>
        </w:tc>
        <w:tc>
          <w:tcPr>
            <w:tcW w:w="1340" w:type="dxa"/>
            <w:vAlign w:val="bottom"/>
            <w:gridSpan w:val="2"/>
          </w:tcPr>
          <w:p>
            <w:pPr>
              <w:jc w:val="center"/>
              <w:ind w:right="300"/>
              <w:spacing w:after="0" w:line="167" w:lineRule="exact"/>
              <w:rPr>
                <w:sz w:val="20"/>
                <w:szCs w:val="20"/>
                <w:color w:val="auto"/>
              </w:rPr>
            </w:pPr>
            <w:r>
              <w:rPr>
                <w:rFonts w:ascii="Times New Roman" w:cs="Times New Roman" w:eastAsia="Times New Roman" w:hAnsi="Times New Roman"/>
                <w:sz w:val="16"/>
                <w:szCs w:val="16"/>
                <w:b w:val="1"/>
                <w:bCs w:val="1"/>
                <w:color w:val="auto"/>
              </w:rPr>
              <w:t>Less than 12</w:t>
            </w:r>
          </w:p>
        </w:tc>
        <w:tc>
          <w:tcPr>
            <w:tcW w:w="180" w:type="dxa"/>
            <w:vAlign w:val="bottom"/>
          </w:tcPr>
          <w:p>
            <w:pPr>
              <w:spacing w:after="0"/>
              <w:rPr>
                <w:sz w:val="14"/>
                <w:szCs w:val="14"/>
                <w:color w:val="auto"/>
              </w:rPr>
            </w:pPr>
          </w:p>
        </w:tc>
        <w:tc>
          <w:tcPr>
            <w:tcW w:w="1260" w:type="dxa"/>
            <w:vAlign w:val="bottom"/>
          </w:tcPr>
          <w:p>
            <w:pPr>
              <w:jc w:val="center"/>
              <w:ind w:right="99"/>
              <w:spacing w:after="0" w:line="167" w:lineRule="exact"/>
              <w:rPr>
                <w:sz w:val="20"/>
                <w:szCs w:val="20"/>
                <w:color w:val="auto"/>
              </w:rPr>
            </w:pPr>
            <w:r>
              <w:rPr>
                <w:rFonts w:ascii="Times New Roman" w:cs="Times New Roman" w:eastAsia="Times New Roman" w:hAnsi="Times New Roman"/>
                <w:sz w:val="16"/>
                <w:szCs w:val="16"/>
                <w:b w:val="1"/>
                <w:bCs w:val="1"/>
                <w:color w:val="auto"/>
                <w:w w:val="99"/>
              </w:rPr>
              <w:t>More than 12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320"/>
              <w:spacing w:after="0" w:line="167" w:lineRule="exact"/>
              <w:rPr>
                <w:sz w:val="20"/>
                <w:szCs w:val="20"/>
                <w:color w:val="auto"/>
              </w:rPr>
            </w:pPr>
            <w:r>
              <w:rPr>
                <w:rFonts w:ascii="Times New Roman" w:cs="Times New Roman" w:eastAsia="Times New Roman" w:hAnsi="Times New Roman"/>
                <w:sz w:val="16"/>
                <w:szCs w:val="16"/>
                <w:b w:val="1"/>
                <w:bCs w:val="1"/>
                <w:color w:val="auto"/>
              </w:rPr>
              <w:t>Fair</w:t>
            </w:r>
          </w:p>
        </w:tc>
        <w:tc>
          <w:tcPr>
            <w:tcW w:w="200" w:type="dxa"/>
            <w:vAlign w:val="bottom"/>
          </w:tcPr>
          <w:p>
            <w:pPr>
              <w:spacing w:after="0"/>
              <w:rPr>
                <w:sz w:val="14"/>
                <w:szCs w:val="14"/>
                <w:color w:val="auto"/>
              </w:rPr>
            </w:pPr>
          </w:p>
        </w:tc>
        <w:tc>
          <w:tcPr>
            <w:tcW w:w="1160" w:type="dxa"/>
            <w:vAlign w:val="bottom"/>
          </w:tcPr>
          <w:p>
            <w:pPr>
              <w:jc w:val="center"/>
              <w:ind w:right="119"/>
              <w:spacing w:after="0" w:line="167"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0" w:type="dxa"/>
            <w:vAlign w:val="bottom"/>
          </w:tcPr>
          <w:p>
            <w:pPr>
              <w:spacing w:after="0"/>
              <w:rPr>
                <w:sz w:val="1"/>
                <w:szCs w:val="1"/>
                <w:color w:val="auto"/>
              </w:rPr>
            </w:pPr>
          </w:p>
        </w:tc>
      </w:tr>
      <w:tr>
        <w:trPr>
          <w:trHeight w:val="212"/>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220" w:type="dxa"/>
            <w:vAlign w:val="bottom"/>
          </w:tcPr>
          <w:p>
            <w:pPr>
              <w:spacing w:after="0"/>
              <w:rPr>
                <w:sz w:val="18"/>
                <w:szCs w:val="18"/>
                <w:color w:val="auto"/>
              </w:rPr>
            </w:pPr>
          </w:p>
        </w:tc>
        <w:tc>
          <w:tcPr>
            <w:tcW w:w="132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60" w:type="dxa"/>
            <w:vAlign w:val="bottom"/>
          </w:tcPr>
          <w:p>
            <w:pPr>
              <w:spacing w:after="0"/>
              <w:rPr>
                <w:sz w:val="18"/>
                <w:szCs w:val="18"/>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2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Months</w:t>
            </w: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Months</w:t>
            </w:r>
          </w:p>
        </w:tc>
        <w:tc>
          <w:tcPr>
            <w:tcW w:w="24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200" w:type="dxa"/>
            <w:vAlign w:val="bottom"/>
          </w:tcPr>
          <w:p>
            <w:pPr>
              <w:spacing w:after="0"/>
              <w:rPr>
                <w:sz w:val="18"/>
                <w:szCs w:val="18"/>
                <w:color w:val="auto"/>
              </w:rPr>
            </w:pPr>
          </w:p>
        </w:tc>
        <w:tc>
          <w:tcPr>
            <w:tcW w:w="11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6"/>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Fixed-Maturity Securities: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40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U.S. Treasury securities and</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 of U.S. government</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corporations and agencies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997,188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996,250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0" w:type="dxa"/>
            <w:vAlign w:val="bottom"/>
          </w:tcPr>
          <w:p>
            <w:pPr>
              <w:spacing w:after="0"/>
              <w:rPr>
                <w:sz w:val="1"/>
                <w:szCs w:val="1"/>
                <w:color w:val="auto"/>
              </w:rPr>
            </w:pPr>
          </w:p>
        </w:tc>
      </w:tr>
      <w:tr>
        <w:trPr>
          <w:trHeight w:val="175"/>
        </w:trPr>
        <w:tc>
          <w:tcPr>
            <w:tcW w:w="240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Political subdivisions of States,</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Territories and Possessions (1)</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24,121,154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(2,542,986)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21,704,557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(2,416,597)</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40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Corporate and other bonds</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 and miscellaneous (1)</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139,024,714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94,103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(843,219)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(2,828,182)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135,447,416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(3,577,298)</w:t>
            </w:r>
          </w:p>
        </w:tc>
        <w:tc>
          <w:tcPr>
            <w:tcW w:w="0" w:type="dxa"/>
            <w:vAlign w:val="bottom"/>
          </w:tcPr>
          <w:p>
            <w:pPr>
              <w:spacing w:after="0"/>
              <w:rPr>
                <w:sz w:val="1"/>
                <w:szCs w:val="1"/>
                <w:color w:val="auto"/>
              </w:rPr>
            </w:pPr>
          </w:p>
        </w:tc>
      </w:tr>
      <w:tr>
        <w:trPr>
          <w:trHeight w:val="175"/>
        </w:trPr>
        <w:tc>
          <w:tcPr>
            <w:tcW w:w="240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Residential mortgage and other</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asset backed securities (1) (2)</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139,959,828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713,599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(461,679)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(4,559,545)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135,652,203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(4,307,625)</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fixed-maturity securities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304,102,884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934,091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(1,305,836)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(9,930,713)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293,800,426</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(10,302,458)</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00" w:type="dxa"/>
            <w:vAlign w:val="bottom"/>
            <w:gridSpan w:val="5"/>
          </w:tcPr>
          <w:p>
            <w:pPr>
              <w:ind w:left="7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Cost or</w:t>
            </w:r>
          </w:p>
        </w:tc>
        <w:tc>
          <w:tcPr>
            <w:tcW w:w="160" w:type="dxa"/>
            <w:vAlign w:val="bottom"/>
          </w:tcPr>
          <w:p>
            <w:pPr>
              <w:spacing w:after="0"/>
              <w:rPr>
                <w:sz w:val="17"/>
                <w:szCs w:val="17"/>
                <w:color w:val="auto"/>
              </w:rPr>
            </w:pPr>
          </w:p>
        </w:tc>
        <w:tc>
          <w:tcPr>
            <w:tcW w:w="11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200" w:type="dxa"/>
            <w:vAlign w:val="bottom"/>
          </w:tcPr>
          <w:p>
            <w:pPr>
              <w:spacing w:after="0"/>
              <w:rPr>
                <w:sz w:val="17"/>
                <w:szCs w:val="17"/>
                <w:color w:val="auto"/>
              </w:rPr>
            </w:pPr>
          </w:p>
        </w:tc>
        <w:tc>
          <w:tcPr>
            <w:tcW w:w="290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Gross Unrealized Losses</w:t>
            </w:r>
          </w:p>
        </w:tc>
        <w:tc>
          <w:tcPr>
            <w:tcW w:w="240" w:type="dxa"/>
            <w:vAlign w:val="bottom"/>
          </w:tcPr>
          <w:p>
            <w:pPr>
              <w:spacing w:after="0"/>
              <w:rPr>
                <w:sz w:val="17"/>
                <w:szCs w:val="17"/>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240" w:type="dxa"/>
            <w:vAlign w:val="bottom"/>
          </w:tcPr>
          <w:p>
            <w:pPr>
              <w:spacing w:after="0"/>
              <w:rPr>
                <w:sz w:val="17"/>
                <w:szCs w:val="17"/>
                <w:color w:val="auto"/>
              </w:rPr>
            </w:pPr>
          </w:p>
        </w:tc>
        <w:tc>
          <w:tcPr>
            <w:tcW w:w="1240" w:type="dxa"/>
            <w:vAlign w:val="bottom"/>
            <w:vMerge w:val="restart"/>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31"/>
        </w:trPr>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60"/>
              <w:spacing w:after="0" w:line="167"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160" w:type="dxa"/>
            <w:vAlign w:val="bottom"/>
          </w:tcPr>
          <w:p>
            <w:pPr>
              <w:spacing w:after="0"/>
              <w:rPr>
                <w:sz w:val="14"/>
                <w:szCs w:val="14"/>
                <w:color w:val="auto"/>
              </w:rPr>
            </w:pPr>
          </w:p>
        </w:tc>
        <w:tc>
          <w:tcPr>
            <w:tcW w:w="1160" w:type="dxa"/>
            <w:vAlign w:val="bottom"/>
            <w:gridSpan w:val="2"/>
          </w:tcPr>
          <w:p>
            <w:pPr>
              <w:ind w:left="60"/>
              <w:spacing w:after="0" w:line="167"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0" w:type="dxa"/>
            <w:vAlign w:val="bottom"/>
          </w:tcPr>
          <w:p>
            <w:pPr>
              <w:spacing w:after="0"/>
              <w:rPr>
                <w:sz w:val="14"/>
                <w:szCs w:val="14"/>
                <w:color w:val="auto"/>
              </w:rPr>
            </w:pPr>
          </w:p>
        </w:tc>
        <w:tc>
          <w:tcPr>
            <w:tcW w:w="1340" w:type="dxa"/>
            <w:vAlign w:val="bottom"/>
            <w:gridSpan w:val="2"/>
          </w:tcPr>
          <w:p>
            <w:pPr>
              <w:ind w:left="100"/>
              <w:spacing w:after="0" w:line="167" w:lineRule="exact"/>
              <w:rPr>
                <w:sz w:val="20"/>
                <w:szCs w:val="20"/>
                <w:color w:val="auto"/>
              </w:rPr>
            </w:pPr>
            <w:r>
              <w:rPr>
                <w:rFonts w:ascii="Times New Roman" w:cs="Times New Roman" w:eastAsia="Times New Roman" w:hAnsi="Times New Roman"/>
                <w:sz w:val="16"/>
                <w:szCs w:val="16"/>
                <w:b w:val="1"/>
                <w:bCs w:val="1"/>
                <w:color w:val="auto"/>
              </w:rPr>
              <w:t>Less than 12</w:t>
            </w:r>
          </w:p>
        </w:tc>
        <w:tc>
          <w:tcPr>
            <w:tcW w:w="200" w:type="dxa"/>
            <w:vAlign w:val="bottom"/>
          </w:tcPr>
          <w:p>
            <w:pPr>
              <w:spacing w:after="0"/>
              <w:rPr>
                <w:sz w:val="14"/>
                <w:szCs w:val="14"/>
                <w:color w:val="auto"/>
              </w:rPr>
            </w:pPr>
          </w:p>
        </w:tc>
        <w:tc>
          <w:tcPr>
            <w:tcW w:w="1260" w:type="dxa"/>
            <w:vAlign w:val="bottom"/>
          </w:tcPr>
          <w:p>
            <w:pPr>
              <w:jc w:val="right"/>
              <w:ind w:right="179"/>
              <w:spacing w:after="0" w:line="167" w:lineRule="exact"/>
              <w:rPr>
                <w:sz w:val="20"/>
                <w:szCs w:val="20"/>
                <w:color w:val="auto"/>
              </w:rPr>
            </w:pPr>
            <w:r>
              <w:rPr>
                <w:rFonts w:ascii="Times New Roman" w:cs="Times New Roman" w:eastAsia="Times New Roman" w:hAnsi="Times New Roman"/>
                <w:sz w:val="16"/>
                <w:szCs w:val="16"/>
                <w:b w:val="1"/>
                <w:bCs w:val="1"/>
                <w:color w:val="auto"/>
              </w:rPr>
              <w:t>More than 12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ind w:left="320"/>
              <w:spacing w:after="0" w:line="167" w:lineRule="exact"/>
              <w:rPr>
                <w:sz w:val="20"/>
                <w:szCs w:val="20"/>
                <w:color w:val="auto"/>
              </w:rPr>
            </w:pPr>
            <w:r>
              <w:rPr>
                <w:rFonts w:ascii="Times New Roman" w:cs="Times New Roman" w:eastAsia="Times New Roman" w:hAnsi="Times New Roman"/>
                <w:sz w:val="16"/>
                <w:szCs w:val="16"/>
                <w:b w:val="1"/>
                <w:bCs w:val="1"/>
                <w:color w:val="auto"/>
              </w:rPr>
              <w:t>Fair</w:t>
            </w:r>
          </w:p>
        </w:tc>
        <w:tc>
          <w:tcPr>
            <w:tcW w:w="240" w:type="dxa"/>
            <w:vAlign w:val="bottom"/>
          </w:tcPr>
          <w:p>
            <w:pPr>
              <w:spacing w:after="0"/>
              <w:rPr>
                <w:sz w:val="14"/>
                <w:szCs w:val="14"/>
                <w:color w:val="auto"/>
              </w:rPr>
            </w:pPr>
          </w:p>
        </w:tc>
        <w:tc>
          <w:tcPr>
            <w:tcW w:w="1240" w:type="dxa"/>
            <w:vAlign w:val="bottom"/>
          </w:tcPr>
          <w:p>
            <w:pPr>
              <w:jc w:val="center"/>
              <w:ind w:right="159"/>
              <w:spacing w:after="0" w:line="167"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0" w:type="dxa"/>
            <w:vAlign w:val="bottom"/>
          </w:tcPr>
          <w:p>
            <w:pPr>
              <w:spacing w:after="0"/>
              <w:rPr>
                <w:sz w:val="1"/>
                <w:szCs w:val="1"/>
                <w:color w:val="auto"/>
              </w:rPr>
            </w:pPr>
          </w:p>
        </w:tc>
      </w:tr>
      <w:tr>
        <w:trPr>
          <w:trHeight w:val="239"/>
        </w:trPr>
        <w:tc>
          <w:tcPr>
            <w:tcW w:w="2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0" w:type="dxa"/>
            <w:vAlign w:val="bottom"/>
          </w:tcPr>
          <w:p>
            <w:pPr>
              <w:spacing w:after="0"/>
              <w:rPr>
                <w:sz w:val="1"/>
                <w:szCs w:val="1"/>
                <w:color w:val="auto"/>
              </w:rPr>
            </w:pPr>
          </w:p>
        </w:tc>
      </w:tr>
      <w:tr>
        <w:trPr>
          <w:trHeight w:val="41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Fixed-Maturity Securities: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and</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2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obligations of U.S. government</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corporations and agencies (1)</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997,124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1,007,190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10,066</w:t>
            </w:r>
          </w:p>
        </w:tc>
        <w:tc>
          <w:tcPr>
            <w:tcW w:w="0" w:type="dxa"/>
            <w:vAlign w:val="bottom"/>
          </w:tcPr>
          <w:p>
            <w:pPr>
              <w:spacing w:after="0"/>
              <w:rPr>
                <w:sz w:val="1"/>
                <w:szCs w:val="1"/>
                <w:color w:val="auto"/>
              </w:rPr>
            </w:pPr>
          </w:p>
        </w:tc>
      </w:tr>
      <w:tr>
        <w:trPr>
          <w:trHeight w:val="189"/>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Political subdivisions of States,</w:t>
            </w:r>
          </w:p>
        </w:tc>
        <w:tc>
          <w:tcPr>
            <w:tcW w:w="22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24,125,578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182,580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(2,534,725)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21,773,433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(2,352,145)</w:t>
            </w:r>
          </w:p>
        </w:tc>
        <w:tc>
          <w:tcPr>
            <w:tcW w:w="0" w:type="dxa"/>
            <w:vAlign w:val="bottom"/>
          </w:tcPr>
          <w:p>
            <w:pPr>
              <w:spacing w:after="0"/>
              <w:rPr>
                <w:sz w:val="1"/>
                <w:szCs w:val="1"/>
                <w:color w:val="auto"/>
              </w:rPr>
            </w:pPr>
          </w:p>
        </w:tc>
      </w:tr>
      <w:tr>
        <w:trPr>
          <w:trHeight w:val="220"/>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Territories and Possessions (1)</w:t>
            </w:r>
          </w:p>
        </w:tc>
        <w:tc>
          <w:tcPr>
            <w:tcW w:w="2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 bonds</w:t>
            </w:r>
          </w:p>
        </w:tc>
        <w:tc>
          <w:tcPr>
            <w:tcW w:w="22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131,958,643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567,410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(118,901)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(2,540,470)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129,866,682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(2,091,961)</w:t>
            </w:r>
          </w:p>
        </w:tc>
        <w:tc>
          <w:tcPr>
            <w:tcW w:w="0" w:type="dxa"/>
            <w:vAlign w:val="bottom"/>
          </w:tcPr>
          <w:p>
            <w:pPr>
              <w:spacing w:after="0"/>
              <w:rPr>
                <w:sz w:val="1"/>
                <w:szCs w:val="1"/>
                <w:color w:val="auto"/>
              </w:rPr>
            </w:pPr>
          </w:p>
        </w:tc>
      </w:tr>
      <w:tr>
        <w:trPr>
          <w:trHeight w:val="230"/>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 and miscellaneous (1)</w:t>
            </w:r>
          </w:p>
        </w:tc>
        <w:tc>
          <w:tcPr>
            <w:tcW w:w="2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Residential mortgage and other</w:t>
            </w:r>
          </w:p>
        </w:tc>
        <w:tc>
          <w:tcPr>
            <w:tcW w:w="22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139,656,710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1,273,816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(62,968)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(4,477,673)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136,389,885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(3,266,825)</w:t>
            </w:r>
          </w:p>
        </w:tc>
        <w:tc>
          <w:tcPr>
            <w:tcW w:w="0" w:type="dxa"/>
            <w:vAlign w:val="bottom"/>
          </w:tcPr>
          <w:p>
            <w:pPr>
              <w:spacing w:after="0"/>
              <w:rPr>
                <w:sz w:val="1"/>
                <w:szCs w:val="1"/>
                <w:color w:val="auto"/>
              </w:rPr>
            </w:pPr>
          </w:p>
        </w:tc>
      </w:tr>
      <w:tr>
        <w:trPr>
          <w:trHeight w:val="223"/>
        </w:trPr>
        <w:tc>
          <w:tcPr>
            <w:tcW w:w="2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asset backed securities (1) (2)</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2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fixed-maturity securities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296,738,055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2,033,872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(181,869)</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(9,552,868)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289,037,190</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(7,700,865)</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left="2040" w:hanging="1083"/>
        <w:spacing w:after="0" w:line="258" w:lineRule="auto"/>
        <w:tabs>
          <w:tab w:leader="none" w:pos="203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October 2022, KICO placed certain U.S. Treasury securities to fulfill the required collateral for a sale-leaseback transaction in a designated custodian account (see Note 7 – Debt - “Equipment Financing”). As of December 31, 2024 KICO had sold its U.S. Treasury securities and replaced a portion of its other fixed-maturity securities in the designated custodian account. As of March 31, 2026 and December 31, 2025, the amount of required collateral was approximately $3,193,000 and $3,616,000, respectively. As of March 31, 2026 and December 31, 2025, the estimated fair value of the eligible collateral was approximately $3,193,000 and $3,616,000, respectively.</w:t>
      </w:r>
    </w:p>
    <w:p>
      <w:pPr>
        <w:spacing w:after="0" w:line="1" w:lineRule="exact"/>
        <w:rPr>
          <w:rFonts w:ascii="Times New Roman" w:cs="Times New Roman" w:eastAsia="Times New Roman" w:hAnsi="Times New Roman"/>
          <w:sz w:val="16"/>
          <w:szCs w:val="16"/>
          <w:color w:val="auto"/>
        </w:rPr>
      </w:pPr>
    </w:p>
    <w:p>
      <w:pPr>
        <w:jc w:val="both"/>
        <w:ind w:left="2040" w:hanging="1083"/>
        <w:spacing w:after="0" w:line="255" w:lineRule="auto"/>
        <w:tabs>
          <w:tab w:leader="none" w:pos="203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KICO has placed certain residential mortgage backed securities as eligible collateral in a designated custodian account related to its membership in the Federal Home Loan Bank of New York (“FHLBNY”) (see Note 7 – Debt – “Federal Home Loan Bank”). The eligible collateral would be pledged to FHLBNY if KICO draws an advance from the FHLBNY credit line. As of March 31, 2026 and December 31, 2025, the estimated fair value of the eligible investments was approximately $9,313,000 and $9,598,000, respectively. KICO will retain all rights regarding all securities if pledged as collateral. As of March 31, 2026 and December 31, 2025, there was no outstanding balance on the FHLBNY credit line.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summary of the amortized cost and estimated fair value of the Company’s investments in available-for-sale fixed-maturity securities by contractual maturity as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31, 2026 and December 31, 2025 is shown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5"/>
          </w:tcPr>
          <w:p>
            <w:pPr>
              <w:ind w:left="7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Pr>
          <w:p>
            <w:pPr>
              <w:spacing w:after="0"/>
              <w:rPr>
                <w:sz w:val="18"/>
                <w:szCs w:val="18"/>
                <w:color w:val="auto"/>
              </w:rPr>
            </w:pPr>
          </w:p>
        </w:tc>
        <w:tc>
          <w:tcPr>
            <w:tcW w:w="2840" w:type="dxa"/>
            <w:vAlign w:val="bottom"/>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33"/>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0"/>
        </w:trPr>
        <w:tc>
          <w:tcPr>
            <w:tcW w:w="4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60"/>
              <w:spacing w:after="0" w:line="181" w:lineRule="exact"/>
              <w:rPr>
                <w:sz w:val="20"/>
                <w:szCs w:val="20"/>
                <w:color w:val="auto"/>
              </w:rPr>
            </w:pPr>
            <w:r>
              <w:rPr>
                <w:rFonts w:ascii="Times New Roman" w:cs="Times New Roman" w:eastAsia="Times New Roman" w:hAnsi="Times New Roman"/>
                <w:sz w:val="16"/>
                <w:szCs w:val="16"/>
                <w:b w:val="1"/>
                <w:bCs w:val="1"/>
                <w:color w:val="auto"/>
              </w:rPr>
              <w:t>Cost or</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60"/>
              <w:spacing w:after="0" w:line="181" w:lineRule="exact"/>
              <w:rPr>
                <w:sz w:val="20"/>
                <w:szCs w:val="20"/>
                <w:color w:val="auto"/>
              </w:rPr>
            </w:pPr>
            <w:r>
              <w:rPr>
                <w:rFonts w:ascii="Times New Roman" w:cs="Times New Roman" w:eastAsia="Times New Roman" w:hAnsi="Times New Roman"/>
                <w:sz w:val="16"/>
                <w:szCs w:val="16"/>
                <w:b w:val="1"/>
                <w:bCs w:val="1"/>
                <w:color w:val="auto"/>
              </w:rPr>
              <w:t>Cost or</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4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80"/>
              <w:spacing w:after="0" w:line="175"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5"/>
                <w:szCs w:val="15"/>
                <w:color w:val="auto"/>
              </w:rPr>
            </w:pPr>
          </w:p>
        </w:tc>
        <w:tc>
          <w:tcPr>
            <w:tcW w:w="1340" w:type="dxa"/>
            <w:vAlign w:val="bottom"/>
            <w:gridSpan w:val="2"/>
          </w:tcPr>
          <w:p>
            <w:pPr>
              <w:ind w:left="140"/>
              <w:spacing w:after="0" w:line="175"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220" w:type="dxa"/>
            <w:vAlign w:val="bottom"/>
          </w:tcPr>
          <w:p>
            <w:pPr>
              <w:spacing w:after="0"/>
              <w:rPr>
                <w:sz w:val="15"/>
                <w:szCs w:val="15"/>
                <w:color w:val="auto"/>
              </w:rPr>
            </w:pPr>
          </w:p>
        </w:tc>
        <w:tc>
          <w:tcPr>
            <w:tcW w:w="1360" w:type="dxa"/>
            <w:vAlign w:val="bottom"/>
            <w:gridSpan w:val="2"/>
          </w:tcPr>
          <w:p>
            <w:pPr>
              <w:jc w:val="center"/>
              <w:ind w:right="380"/>
              <w:spacing w:after="0" w:line="175"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5"/>
                <w:szCs w:val="15"/>
                <w:color w:val="auto"/>
              </w:rPr>
            </w:pPr>
          </w:p>
        </w:tc>
        <w:tc>
          <w:tcPr>
            <w:tcW w:w="1240" w:type="dxa"/>
            <w:vAlign w:val="bottom"/>
          </w:tcPr>
          <w:p>
            <w:pPr>
              <w:jc w:val="right"/>
              <w:ind w:right="319"/>
              <w:spacing w:after="0" w:line="175" w:lineRule="exact"/>
              <w:rPr>
                <w:sz w:val="20"/>
                <w:szCs w:val="20"/>
                <w:color w:val="auto"/>
              </w:rPr>
            </w:pPr>
            <w:r>
              <w:rPr>
                <w:rFonts w:ascii="Times New Roman" w:cs="Times New Roman" w:eastAsia="Times New Roman" w:hAnsi="Times New Roman"/>
                <w:sz w:val="16"/>
                <w:szCs w:val="16"/>
                <w:b w:val="1"/>
                <w:bCs w:val="1"/>
                <w:color w:val="auto"/>
              </w:rPr>
              <w:t>Estimated</w:t>
            </w:r>
          </w:p>
        </w:tc>
      </w:tr>
      <w:tr>
        <w:trPr>
          <w:trHeight w:val="239"/>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Remaining Time to Maturity</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20"/>
                <w:szCs w:val="20"/>
                <w:color w:val="auto"/>
              </w:rPr>
            </w:pPr>
          </w:p>
        </w:tc>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43"/>
        </w:trPr>
        <w:tc>
          <w:tcPr>
            <w:tcW w:w="4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r>
      <w:tr>
        <w:trPr>
          <w:trHeight w:val="22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one year</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9,514,164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9,493,990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6,039,179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6,052,600</w:t>
            </w:r>
          </w:p>
        </w:tc>
      </w:tr>
      <w:tr>
        <w:trPr>
          <w:trHeight w:val="21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One to five years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79,965,646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78,421,717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76,122,161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75,365,535</w:t>
            </w:r>
          </w:p>
        </w:tc>
      </w:tr>
      <w:tr>
        <w:trPr>
          <w:trHeight w:val="33"/>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Five to ten years</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59,252,148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57,219,279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54,998,070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53,590,654</w:t>
            </w:r>
          </w:p>
        </w:tc>
      </w:tr>
      <w:tr>
        <w:trPr>
          <w:trHeight w:val="21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More than 10 years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15,411,098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13,013,237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19,921,935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17,638,516</w:t>
            </w:r>
          </w:p>
        </w:tc>
      </w:tr>
      <w:tr>
        <w:trPr>
          <w:trHeight w:val="33"/>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and other asset 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139,959,828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135,652,203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139,656,710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136,389,885</w:t>
            </w:r>
          </w:p>
        </w:tc>
      </w:tr>
      <w:tr>
        <w:trPr>
          <w:trHeight w:val="204"/>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304,102,884</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293,800,426</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296,738,055</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289,037,190</w:t>
            </w:r>
          </w:p>
        </w:tc>
      </w:tr>
      <w:tr>
        <w:trPr>
          <w:trHeight w:val="33"/>
        </w:trPr>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actual maturities may differ from contractual maturities because certain borrowers have the right to call or prepay obligations with or without penalties.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was no allowance for credit losses on fixed-maturity securities classified as available-for-sale as of March 31, 2026 and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Equity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cost and estimated fair value of, and gross unrealized gains and losses on, investments in equity securities as of March 31, 2026 and December 31, 2025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60" w:type="dxa"/>
            <w:vAlign w:val="bottom"/>
            <w:gridSpan w:val="6"/>
          </w:tcPr>
          <w:p>
            <w:pPr>
              <w:ind w:left="10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ind w:left="520"/>
              <w:spacing w:after="0" w:line="167" w:lineRule="exact"/>
              <w:rPr>
                <w:sz w:val="20"/>
                <w:szCs w:val="20"/>
                <w:color w:val="auto"/>
              </w:rPr>
            </w:pPr>
            <w:r>
              <w:rPr>
                <w:rFonts w:ascii="Times New Roman" w:cs="Times New Roman" w:eastAsia="Times New Roman" w:hAnsi="Times New Roman"/>
                <w:sz w:val="16"/>
                <w:szCs w:val="16"/>
                <w:b w:val="1"/>
                <w:bCs w:val="1"/>
                <w:color w:val="auto"/>
              </w:rPr>
              <w:t>Gross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line="167"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6"/>
                <w:szCs w:val="16"/>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12"/>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360" w:type="dxa"/>
            <w:vAlign w:val="bottom"/>
          </w:tcPr>
          <w:p>
            <w:pPr>
              <w:spacing w:after="0"/>
              <w:rPr>
                <w:sz w:val="18"/>
                <w:szCs w:val="18"/>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4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12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33"/>
        </w:trPr>
        <w:tc>
          <w:tcPr>
            <w:tcW w:w="4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7"/>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Equity Securities: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9,750,322</w:t>
            </w: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(2,946,422)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6,803,900</w:t>
            </w:r>
          </w:p>
        </w:tc>
        <w:tc>
          <w:tcPr>
            <w:tcW w:w="0" w:type="dxa"/>
            <w:vAlign w:val="bottom"/>
          </w:tcPr>
          <w:p>
            <w:pPr>
              <w:spacing w:after="0"/>
              <w:rPr>
                <w:sz w:val="1"/>
                <w:szCs w:val="1"/>
                <w:color w:val="auto"/>
              </w:rPr>
            </w:pPr>
          </w:p>
        </w:tc>
      </w:tr>
      <w:tr>
        <w:trPr>
          <w:trHeight w:val="21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Fixed income exchange traded funds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3,711,232</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(760,432)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2,950,800</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FHLBNY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85,100</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85,100</w:t>
            </w:r>
          </w:p>
        </w:tc>
        <w:tc>
          <w:tcPr>
            <w:tcW w:w="0" w:type="dxa"/>
            <w:vAlign w:val="bottom"/>
          </w:tcPr>
          <w:p>
            <w:pPr>
              <w:spacing w:after="0"/>
              <w:rPr>
                <w:sz w:val="1"/>
                <w:szCs w:val="1"/>
                <w:color w:val="auto"/>
              </w:rPr>
            </w:pPr>
          </w:p>
        </w:tc>
      </w:tr>
      <w:tr>
        <w:trPr>
          <w:trHeight w:val="204"/>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13,546,654</w:t>
            </w:r>
          </w:p>
        </w:tc>
        <w:tc>
          <w:tcPr>
            <w:tcW w:w="80" w:type="dxa"/>
            <w:vAlign w:val="bottom"/>
          </w:tcPr>
          <w:p>
            <w:pPr>
              <w:spacing w:after="0"/>
              <w:rPr>
                <w:sz w:val="17"/>
                <w:szCs w:val="17"/>
                <w:color w:val="auto"/>
              </w:rPr>
            </w:pPr>
          </w:p>
        </w:tc>
        <w:tc>
          <w:tcPr>
            <w:tcW w:w="1240" w:type="dxa"/>
            <w:vAlign w:val="bottom"/>
            <w:tcBorders>
              <w:top w:val="single" w:sz="8" w:color="auto"/>
            </w:tcBorders>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(3,706,854)</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9,839,800</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8"/>
        </w:trPr>
        <w:tc>
          <w:tcPr>
            <w:tcW w:w="4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60" w:type="dxa"/>
            <w:vAlign w:val="bottom"/>
            <w:gridSpan w:val="6"/>
          </w:tcPr>
          <w:p>
            <w:pPr>
              <w:ind w:left="8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ind w:left="520"/>
              <w:spacing w:after="0" w:line="181" w:lineRule="exact"/>
              <w:rPr>
                <w:sz w:val="20"/>
                <w:szCs w:val="20"/>
                <w:color w:val="auto"/>
              </w:rPr>
            </w:pPr>
            <w:r>
              <w:rPr>
                <w:rFonts w:ascii="Times New Roman" w:cs="Times New Roman" w:eastAsia="Times New Roman" w:hAnsi="Times New Roman"/>
                <w:sz w:val="16"/>
                <w:szCs w:val="16"/>
                <w:b w:val="1"/>
                <w:bCs w:val="1"/>
                <w:color w:val="auto"/>
              </w:rPr>
              <w:t>Gross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80" w:type="dxa"/>
            <w:vAlign w:val="bottom"/>
            <w:vMerge w:val="restart"/>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restart"/>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vMerge w:val="restart"/>
          </w:tcPr>
          <w:p>
            <w:pPr>
              <w:spacing w:after="0"/>
              <w:rPr>
                <w:sz w:val="16"/>
                <w:szCs w:val="16"/>
                <w:color w:val="auto"/>
              </w:rPr>
            </w:pPr>
          </w:p>
        </w:tc>
        <w:tc>
          <w:tcPr>
            <w:tcW w:w="124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6"/>
                <w:szCs w:val="16"/>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25"/>
        </w:trPr>
        <w:tc>
          <w:tcPr>
            <w:tcW w:w="494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2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45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Equity Securities: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0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9,750,322</w:t>
            </w: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(2,765,627)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6,984,695</w:t>
            </w:r>
          </w:p>
        </w:tc>
        <w:tc>
          <w:tcPr>
            <w:tcW w:w="0" w:type="dxa"/>
            <w:vAlign w:val="bottom"/>
          </w:tcPr>
          <w:p>
            <w:pPr>
              <w:spacing w:after="0"/>
              <w:rPr>
                <w:sz w:val="1"/>
                <w:szCs w:val="1"/>
                <w:color w:val="auto"/>
              </w:rPr>
            </w:pPr>
          </w:p>
        </w:tc>
      </w:tr>
      <w:tr>
        <w:trPr>
          <w:trHeight w:val="21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Fixed income exchange traded funds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3,711,232</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(724,432)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2,986,800</w:t>
            </w:r>
          </w:p>
        </w:tc>
        <w:tc>
          <w:tcPr>
            <w:tcW w:w="0" w:type="dxa"/>
            <w:vAlign w:val="bottom"/>
          </w:tcPr>
          <w:p>
            <w:pPr>
              <w:spacing w:after="0"/>
              <w:rPr>
                <w:sz w:val="1"/>
                <w:szCs w:val="1"/>
                <w:color w:val="auto"/>
              </w:rPr>
            </w:pPr>
          </w:p>
        </w:tc>
      </w:tr>
      <w:tr>
        <w:trPr>
          <w:trHeight w:val="33"/>
        </w:trPr>
        <w:tc>
          <w:tcPr>
            <w:tcW w:w="50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FHLBNY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85,100</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85,100</w:t>
            </w:r>
          </w:p>
        </w:tc>
        <w:tc>
          <w:tcPr>
            <w:tcW w:w="0" w:type="dxa"/>
            <w:vAlign w:val="bottom"/>
          </w:tcPr>
          <w:p>
            <w:pPr>
              <w:spacing w:after="0"/>
              <w:rPr>
                <w:sz w:val="1"/>
                <w:szCs w:val="1"/>
                <w:color w:val="auto"/>
              </w:rPr>
            </w:pPr>
          </w:p>
        </w:tc>
      </w:tr>
      <w:tr>
        <w:trPr>
          <w:trHeight w:val="204"/>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13,546,654</w:t>
            </w:r>
          </w:p>
        </w:tc>
        <w:tc>
          <w:tcPr>
            <w:tcW w:w="80" w:type="dxa"/>
            <w:vAlign w:val="bottom"/>
          </w:tcPr>
          <w:p>
            <w:pPr>
              <w:spacing w:after="0"/>
              <w:rPr>
                <w:sz w:val="17"/>
                <w:szCs w:val="17"/>
                <w:color w:val="auto"/>
              </w:rPr>
            </w:pPr>
          </w:p>
        </w:tc>
        <w:tc>
          <w:tcPr>
            <w:tcW w:w="1240" w:type="dxa"/>
            <w:vAlign w:val="bottom"/>
            <w:tcBorders>
              <w:top w:val="single" w:sz="8" w:color="auto"/>
            </w:tcBorders>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(3,490,059)</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10,056,595</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Other Investments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cost and estimated fair value of, and gross gains on, the Company’s other investments as of March 31, 2026 and December 31, 2025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100" w:type="dxa"/>
            <w:vAlign w:val="bottom"/>
            <w:vMerge w:val="restart"/>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Borders>
              <w:top w:val="single" w:sz="8" w:color="auto"/>
            </w:tcBorders>
            <w:vMerge w:val="restart"/>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tcPr>
          <w:p>
            <w:pPr>
              <w:jc w:val="center"/>
              <w:ind w:right="200"/>
              <w:spacing w:after="0" w:line="181"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2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ind w:left="140"/>
              <w:spacing w:after="0" w:line="181"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Borders>
              <w:top w:val="single" w:sz="8" w:color="auto"/>
            </w:tcBorders>
            <w:vMerge w:val="restart"/>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tcPr>
          <w:p>
            <w:pPr>
              <w:jc w:val="center"/>
              <w:ind w:right="200"/>
              <w:spacing w:after="0" w:line="181"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ind w:left="140"/>
              <w:spacing w:after="0" w:line="181"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25"/>
        </w:trPr>
        <w:tc>
          <w:tcPr>
            <w:tcW w:w="19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466"/>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Investments: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Hedge fund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1,987,040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1,769,709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3,756,749</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1,987,040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2,565,338</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4,552,378</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Held-to-Maturity Securities</w:t>
      </w:r>
    </w:p>
    <w:p>
      <w:pPr>
        <w:spacing w:after="0" w:line="221"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 cost or amortized cost and estimated fair value of, and unrealized gross gains and losses on, investments in held-to-maturity fixed-maturity securities as of March 31, 2026 and December 31, 2025 are summarized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Cost or</w:t>
            </w:r>
          </w:p>
        </w:tc>
        <w:tc>
          <w:tcPr>
            <w:tcW w:w="114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Gross Unrealized Losses</w:t>
            </w:r>
          </w:p>
        </w:tc>
        <w:tc>
          <w:tcPr>
            <w:tcW w:w="200" w:type="dxa"/>
            <w:vAlign w:val="bottom"/>
          </w:tcPr>
          <w:p>
            <w:pPr>
              <w:spacing w:after="0"/>
              <w:rPr>
                <w:sz w:val="24"/>
                <w:szCs w:val="24"/>
                <w:color w:val="auto"/>
              </w:rPr>
            </w:pPr>
          </w:p>
        </w:tc>
        <w:tc>
          <w:tcPr>
            <w:tcW w:w="12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200" w:type="dxa"/>
            <w:vAlign w:val="bottom"/>
          </w:tcPr>
          <w:p>
            <w:pPr>
              <w:spacing w:after="0"/>
              <w:rPr>
                <w:sz w:val="24"/>
                <w:szCs w:val="24"/>
                <w:color w:val="auto"/>
              </w:rPr>
            </w:pPr>
          </w:p>
        </w:tc>
        <w:tc>
          <w:tcPr>
            <w:tcW w:w="116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1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340"/>
              <w:spacing w:after="0" w:line="181"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1140" w:type="dxa"/>
            <w:vAlign w:val="bottom"/>
          </w:tcPr>
          <w:p>
            <w:pPr>
              <w:jc w:val="center"/>
              <w:ind w:left="99"/>
              <w:spacing w:after="0" w:line="181"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6"/>
                <w:szCs w:val="16"/>
                <w:b w:val="1"/>
                <w:bCs w:val="1"/>
                <w:color w:val="auto"/>
              </w:rPr>
              <w:t>Less than 12</w:t>
            </w:r>
          </w:p>
        </w:tc>
        <w:tc>
          <w:tcPr>
            <w:tcW w:w="180" w:type="dxa"/>
            <w:vAlign w:val="bottom"/>
          </w:tcPr>
          <w:p>
            <w:pPr>
              <w:spacing w:after="0"/>
              <w:rPr>
                <w:sz w:val="15"/>
                <w:szCs w:val="15"/>
                <w:color w:val="auto"/>
              </w:rPr>
            </w:pPr>
          </w:p>
        </w:tc>
        <w:tc>
          <w:tcPr>
            <w:tcW w:w="1280" w:type="dxa"/>
            <w:vAlign w:val="bottom"/>
          </w:tcPr>
          <w:p>
            <w:pPr>
              <w:jc w:val="center"/>
              <w:ind w:right="99"/>
              <w:spacing w:after="0" w:line="181" w:lineRule="exact"/>
              <w:rPr>
                <w:sz w:val="20"/>
                <w:szCs w:val="20"/>
                <w:color w:val="auto"/>
              </w:rPr>
            </w:pPr>
            <w:r>
              <w:rPr>
                <w:rFonts w:ascii="Times New Roman" w:cs="Times New Roman" w:eastAsia="Times New Roman" w:hAnsi="Times New Roman"/>
                <w:sz w:val="16"/>
                <w:szCs w:val="16"/>
                <w:b w:val="1"/>
                <w:bCs w:val="1"/>
                <w:color w:val="auto"/>
              </w:rPr>
              <w:t>More than 12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200" w:type="dxa"/>
            <w:vAlign w:val="bottom"/>
          </w:tcPr>
          <w:p>
            <w:pPr>
              <w:spacing w:after="0"/>
              <w:rPr>
                <w:sz w:val="15"/>
                <w:szCs w:val="15"/>
                <w:color w:val="auto"/>
              </w:rPr>
            </w:pPr>
          </w:p>
        </w:tc>
        <w:tc>
          <w:tcPr>
            <w:tcW w:w="1160" w:type="dxa"/>
            <w:vAlign w:val="bottom"/>
          </w:tcPr>
          <w:p>
            <w:pPr>
              <w:jc w:val="center"/>
              <w:ind w:right="119"/>
              <w:spacing w:after="0" w:line="181"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0" w:type="dxa"/>
            <w:vAlign w:val="bottom"/>
          </w:tcPr>
          <w:p>
            <w:pPr>
              <w:spacing w:after="0"/>
              <w:rPr>
                <w:sz w:val="1"/>
                <w:szCs w:val="1"/>
                <w:color w:val="auto"/>
              </w:rPr>
            </w:pPr>
          </w:p>
        </w:tc>
      </w:tr>
      <w:tr>
        <w:trPr>
          <w:trHeight w:val="239"/>
        </w:trPr>
        <w:tc>
          <w:tcPr>
            <w:tcW w:w="2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453"/>
        </w:trPr>
        <w:tc>
          <w:tcPr>
            <w:tcW w:w="24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Held-to-Maturity Securities:</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 Treasury securities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1,229,571</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(4,564)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(28,420)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1,196,587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(32,984)</w:t>
            </w:r>
          </w:p>
        </w:tc>
        <w:tc>
          <w:tcPr>
            <w:tcW w:w="0" w:type="dxa"/>
            <w:vAlign w:val="bottom"/>
          </w:tcPr>
          <w:p>
            <w:pPr>
              <w:spacing w:after="0"/>
              <w:rPr>
                <w:sz w:val="1"/>
                <w:szCs w:val="1"/>
                <w:color w:val="auto"/>
              </w:rPr>
            </w:pPr>
          </w:p>
        </w:tc>
      </w:tr>
      <w:tr>
        <w:trPr>
          <w:trHeight w:val="210"/>
        </w:trPr>
        <w:tc>
          <w:tcPr>
            <w:tcW w:w="2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Exchange traded debt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304,111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(57,111)</w:t>
            </w: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Corporate and other bonds</w:t>
            </w:r>
          </w:p>
        </w:tc>
        <w:tc>
          <w:tcPr>
            <w:tcW w:w="20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4,507,334</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(897,784)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3,609,550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(897,784)</w:t>
            </w:r>
          </w:p>
        </w:tc>
        <w:tc>
          <w:tcPr>
            <w:tcW w:w="0" w:type="dxa"/>
            <w:vAlign w:val="bottom"/>
          </w:tcPr>
          <w:p>
            <w:pPr>
              <w:spacing w:after="0"/>
              <w:rPr>
                <w:sz w:val="1"/>
                <w:szCs w:val="1"/>
                <w:color w:val="auto"/>
              </w:rPr>
            </w:pPr>
          </w:p>
        </w:tc>
      </w:tr>
      <w:tr>
        <w:trPr>
          <w:trHeight w:val="230"/>
        </w:trPr>
        <w:tc>
          <w:tcPr>
            <w:tcW w:w="24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industrial and miscellaneous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6,041,016</w:t>
            </w:r>
          </w:p>
        </w:tc>
        <w:tc>
          <w:tcPr>
            <w:tcW w:w="100" w:type="dxa"/>
            <w:vAlign w:val="bottom"/>
          </w:tcPr>
          <w:p>
            <w:pPr>
              <w:spacing w:after="0"/>
              <w:rPr>
                <w:sz w:val="17"/>
                <w:szCs w:val="17"/>
                <w:color w:val="auto"/>
              </w:rPr>
            </w:pP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(4,564)</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(983,315)</w:t>
            </w:r>
          </w:p>
        </w:tc>
        <w:tc>
          <w:tcPr>
            <w:tcW w:w="8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5,053,137</w:t>
            </w:r>
          </w:p>
        </w:tc>
        <w:tc>
          <w:tcPr>
            <w:tcW w:w="8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(987,879)</w:t>
            </w: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Cost or</w:t>
            </w:r>
          </w:p>
        </w:tc>
        <w:tc>
          <w:tcPr>
            <w:tcW w:w="114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Gross Unrealized Losses</w:t>
            </w:r>
          </w:p>
        </w:tc>
        <w:tc>
          <w:tcPr>
            <w:tcW w:w="200" w:type="dxa"/>
            <w:vAlign w:val="bottom"/>
          </w:tcPr>
          <w:p>
            <w:pPr>
              <w:spacing w:after="0"/>
              <w:rPr>
                <w:sz w:val="24"/>
                <w:szCs w:val="24"/>
                <w:color w:val="auto"/>
              </w:rPr>
            </w:pPr>
          </w:p>
        </w:tc>
        <w:tc>
          <w:tcPr>
            <w:tcW w:w="12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200" w:type="dxa"/>
            <w:vAlign w:val="bottom"/>
          </w:tcPr>
          <w:p>
            <w:pPr>
              <w:spacing w:after="0"/>
              <w:rPr>
                <w:sz w:val="24"/>
                <w:szCs w:val="24"/>
                <w:color w:val="auto"/>
              </w:rPr>
            </w:pPr>
          </w:p>
        </w:tc>
        <w:tc>
          <w:tcPr>
            <w:tcW w:w="116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1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340"/>
              <w:spacing w:after="0" w:line="181"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1140" w:type="dxa"/>
            <w:vAlign w:val="bottom"/>
          </w:tcPr>
          <w:p>
            <w:pPr>
              <w:jc w:val="center"/>
              <w:ind w:left="99"/>
              <w:spacing w:after="0" w:line="181"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6"/>
                <w:szCs w:val="16"/>
                <w:b w:val="1"/>
                <w:bCs w:val="1"/>
                <w:color w:val="auto"/>
              </w:rPr>
              <w:t>Less than 12</w:t>
            </w:r>
          </w:p>
        </w:tc>
        <w:tc>
          <w:tcPr>
            <w:tcW w:w="180" w:type="dxa"/>
            <w:vAlign w:val="bottom"/>
          </w:tcPr>
          <w:p>
            <w:pPr>
              <w:spacing w:after="0"/>
              <w:rPr>
                <w:sz w:val="15"/>
                <w:szCs w:val="15"/>
                <w:color w:val="auto"/>
              </w:rPr>
            </w:pPr>
          </w:p>
        </w:tc>
        <w:tc>
          <w:tcPr>
            <w:tcW w:w="1280" w:type="dxa"/>
            <w:vAlign w:val="bottom"/>
          </w:tcPr>
          <w:p>
            <w:pPr>
              <w:jc w:val="center"/>
              <w:ind w:right="99"/>
              <w:spacing w:after="0" w:line="181" w:lineRule="exact"/>
              <w:rPr>
                <w:sz w:val="20"/>
                <w:szCs w:val="20"/>
                <w:color w:val="auto"/>
              </w:rPr>
            </w:pPr>
            <w:r>
              <w:rPr>
                <w:rFonts w:ascii="Times New Roman" w:cs="Times New Roman" w:eastAsia="Times New Roman" w:hAnsi="Times New Roman"/>
                <w:sz w:val="16"/>
                <w:szCs w:val="16"/>
                <w:b w:val="1"/>
                <w:bCs w:val="1"/>
                <w:color w:val="auto"/>
              </w:rPr>
              <w:t>More than 12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6"/>
                <w:szCs w:val="16"/>
                <w:b w:val="1"/>
                <w:bCs w:val="1"/>
                <w:color w:val="auto"/>
                <w:w w:val="95"/>
              </w:rPr>
              <w:t>Fair</w:t>
            </w:r>
          </w:p>
        </w:tc>
        <w:tc>
          <w:tcPr>
            <w:tcW w:w="200" w:type="dxa"/>
            <w:vAlign w:val="bottom"/>
          </w:tcPr>
          <w:p>
            <w:pPr>
              <w:spacing w:after="0"/>
              <w:rPr>
                <w:sz w:val="15"/>
                <w:szCs w:val="15"/>
                <w:color w:val="auto"/>
              </w:rPr>
            </w:pPr>
          </w:p>
        </w:tc>
        <w:tc>
          <w:tcPr>
            <w:tcW w:w="1160" w:type="dxa"/>
            <w:vAlign w:val="bottom"/>
          </w:tcPr>
          <w:p>
            <w:pPr>
              <w:jc w:val="center"/>
              <w:ind w:right="119"/>
              <w:spacing w:after="0" w:line="181"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0" w:type="dxa"/>
            <w:vAlign w:val="bottom"/>
          </w:tcPr>
          <w:p>
            <w:pPr>
              <w:spacing w:after="0"/>
              <w:rPr>
                <w:sz w:val="1"/>
                <w:szCs w:val="1"/>
                <w:color w:val="auto"/>
              </w:rPr>
            </w:pPr>
          </w:p>
        </w:tc>
      </w:tr>
      <w:tr>
        <w:trPr>
          <w:trHeight w:val="212"/>
        </w:trPr>
        <w:tc>
          <w:tcPr>
            <w:tcW w:w="24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20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14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1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2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00" w:type="dxa"/>
            <w:vAlign w:val="bottom"/>
          </w:tcPr>
          <w:p>
            <w:pPr>
              <w:spacing w:after="0"/>
              <w:rPr>
                <w:sz w:val="18"/>
                <w:szCs w:val="18"/>
                <w:color w:val="auto"/>
              </w:rPr>
            </w:pPr>
          </w:p>
        </w:tc>
        <w:tc>
          <w:tcPr>
            <w:tcW w:w="11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33"/>
        </w:trPr>
        <w:tc>
          <w:tcPr>
            <w:tcW w:w="2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7"/>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Held-to-Maturity Securities:</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4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1,229,490</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(3,070)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1,204,337</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(25,153)</w:t>
            </w:r>
          </w:p>
        </w:tc>
        <w:tc>
          <w:tcPr>
            <w:tcW w:w="0" w:type="dxa"/>
            <w:vAlign w:val="bottom"/>
          </w:tcPr>
          <w:p>
            <w:pPr>
              <w:spacing w:after="0"/>
              <w:rPr>
                <w:sz w:val="1"/>
                <w:szCs w:val="1"/>
                <w:color w:val="auto"/>
              </w:rPr>
            </w:pPr>
          </w:p>
        </w:tc>
      </w:tr>
      <w:tr>
        <w:trPr>
          <w:trHeight w:val="21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Exchange traded debt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304,111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(62,111)</w:t>
            </w:r>
          </w:p>
        </w:tc>
        <w:tc>
          <w:tcPr>
            <w:tcW w:w="0" w:type="dxa"/>
            <w:vAlign w:val="bottom"/>
          </w:tcPr>
          <w:p>
            <w:pPr>
              <w:spacing w:after="0"/>
              <w:rPr>
                <w:sz w:val="1"/>
                <w:szCs w:val="1"/>
                <w:color w:val="auto"/>
              </w:rPr>
            </w:pPr>
          </w:p>
        </w:tc>
      </w:tr>
      <w:tr>
        <w:trPr>
          <w:trHeight w:val="33"/>
        </w:trPr>
        <w:tc>
          <w:tcPr>
            <w:tcW w:w="24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 bonds</w:t>
            </w:r>
          </w:p>
        </w:tc>
        <w:tc>
          <w:tcPr>
            <w:tcW w:w="20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4,508,747</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(817,817)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3,690,930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(817,817)</w:t>
            </w:r>
          </w:p>
        </w:tc>
        <w:tc>
          <w:tcPr>
            <w:tcW w:w="0" w:type="dxa"/>
            <w:vAlign w:val="bottom"/>
          </w:tcPr>
          <w:p>
            <w:pPr>
              <w:spacing w:after="0"/>
              <w:rPr>
                <w:sz w:val="1"/>
                <w:szCs w:val="1"/>
                <w:color w:val="auto"/>
              </w:rPr>
            </w:pP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 and miscellaneous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6,042,348</w:t>
            </w:r>
          </w:p>
        </w:tc>
        <w:tc>
          <w:tcPr>
            <w:tcW w:w="100" w:type="dxa"/>
            <w:vAlign w:val="bottom"/>
          </w:tcPr>
          <w:p>
            <w:pPr>
              <w:spacing w:after="0"/>
              <w:rPr>
                <w:sz w:val="17"/>
                <w:szCs w:val="17"/>
                <w:color w:val="auto"/>
              </w:rPr>
            </w:pP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(3,070)</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(902,011)</w:t>
            </w:r>
          </w:p>
        </w:tc>
        <w:tc>
          <w:tcPr>
            <w:tcW w:w="8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5,137,267</w:t>
            </w:r>
          </w:p>
        </w:tc>
        <w:tc>
          <w:tcPr>
            <w:tcW w:w="8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(905,081)</w:t>
            </w:r>
          </w:p>
        </w:tc>
        <w:tc>
          <w:tcPr>
            <w:tcW w:w="0" w:type="dxa"/>
            <w:vAlign w:val="bottom"/>
          </w:tcPr>
          <w:p>
            <w:pPr>
              <w:spacing w:after="0"/>
              <w:rPr>
                <w:sz w:val="1"/>
                <w:szCs w:val="1"/>
                <w:color w:val="auto"/>
              </w:rPr>
            </w:pPr>
          </w:p>
        </w:tc>
      </w:tr>
      <w:tr>
        <w:trPr>
          <w:trHeight w:val="33"/>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Held-to-maturity U.S. Treasury securities are held in trust pursuant to various states’ minimum funds requirements.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summary of the amortized cost and estimated fair value of the Company’s investments in held-to-maturity securities by contractual maturity as of March 31, 2026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2025 is shown below:</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Pr>
          <w:p>
            <w:pPr>
              <w:spacing w:after="0"/>
              <w:rPr>
                <w:sz w:val="18"/>
                <w:szCs w:val="18"/>
                <w:color w:val="auto"/>
              </w:rPr>
            </w:pPr>
          </w:p>
        </w:tc>
        <w:tc>
          <w:tcPr>
            <w:tcW w:w="2840" w:type="dxa"/>
            <w:vAlign w:val="bottom"/>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340"/>
              <w:spacing w:after="0" w:line="181" w:lineRule="exact"/>
              <w:rPr>
                <w:sz w:val="20"/>
                <w:szCs w:val="20"/>
                <w:color w:val="auto"/>
              </w:rPr>
            </w:pPr>
            <w:r>
              <w:rPr>
                <w:rFonts w:ascii="Times New Roman" w:cs="Times New Roman" w:eastAsia="Times New Roman" w:hAnsi="Times New Roman"/>
                <w:sz w:val="16"/>
                <w:szCs w:val="16"/>
                <w:b w:val="1"/>
                <w:bCs w:val="1"/>
                <w:color w:val="auto"/>
              </w:rPr>
              <w:t>Cost or</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60"/>
              <w:spacing w:after="0" w:line="181" w:lineRule="exact"/>
              <w:rPr>
                <w:sz w:val="20"/>
                <w:szCs w:val="20"/>
                <w:color w:val="auto"/>
              </w:rPr>
            </w:pPr>
            <w:r>
              <w:rPr>
                <w:rFonts w:ascii="Times New Roman" w:cs="Times New Roman" w:eastAsia="Times New Roman" w:hAnsi="Times New Roman"/>
                <w:sz w:val="16"/>
                <w:szCs w:val="16"/>
                <w:b w:val="1"/>
                <w:bCs w:val="1"/>
                <w:color w:val="auto"/>
              </w:rPr>
              <w:t>Cost or</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Remaining Time to Maturity</w:t>
            </w:r>
          </w:p>
        </w:tc>
        <w:tc>
          <w:tcPr>
            <w:tcW w:w="22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Amortized</w:t>
            </w:r>
          </w:p>
        </w:tc>
        <w:tc>
          <w:tcPr>
            <w:tcW w:w="240" w:type="dxa"/>
            <w:vAlign w:val="bottom"/>
          </w:tcPr>
          <w:p>
            <w:pPr>
              <w:spacing w:after="0"/>
              <w:rPr>
                <w:sz w:val="16"/>
                <w:szCs w:val="16"/>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22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6"/>
                <w:szCs w:val="16"/>
                <w:color w:val="auto"/>
              </w:rPr>
            </w:pPr>
          </w:p>
        </w:tc>
        <w:tc>
          <w:tcPr>
            <w:tcW w:w="124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25"/>
        </w:trPr>
        <w:tc>
          <w:tcPr>
            <w:tcW w:w="50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19"/>
                <w:szCs w:val="19"/>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Pr>
          <w:p>
            <w:pPr>
              <w:spacing w:after="0"/>
              <w:rPr>
                <w:sz w:val="19"/>
                <w:szCs w:val="19"/>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19"/>
                <w:szCs w:val="19"/>
                <w:color w:val="auto"/>
              </w:rPr>
            </w:pPr>
          </w:p>
        </w:tc>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43"/>
        </w:trPr>
        <w:tc>
          <w:tcPr>
            <w:tcW w:w="4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one year</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One to five years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2,066,759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2,014,576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2,063,366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2,029,462</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Five to ten years</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More than 10 years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3,974,257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3,038,561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3,978,982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3,107,805</w:t>
            </w:r>
          </w:p>
        </w:tc>
        <w:tc>
          <w:tcPr>
            <w:tcW w:w="0" w:type="dxa"/>
            <w:vAlign w:val="bottom"/>
          </w:tcPr>
          <w:p>
            <w:pPr>
              <w:spacing w:after="0"/>
              <w:rPr>
                <w:sz w:val="1"/>
                <w:szCs w:val="1"/>
                <w:color w:val="auto"/>
              </w:rPr>
            </w:pPr>
          </w:p>
        </w:tc>
      </w:tr>
      <w:tr>
        <w:trPr>
          <w:trHeight w:val="33"/>
        </w:trPr>
        <w:tc>
          <w:tcPr>
            <w:tcW w:w="4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6,041,016</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5,053,137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6,042,348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5,137,267</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actual maturities may differ from contractual maturities because certain borrowers have the right to call or prepay obligations with or without penalties.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was no allowance for credit losses on held-to-maturity fixed-maturity securities as of March 31, 2026 and December 31, 2025, respectively.</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Investment Income</w:t>
            </w:r>
          </w:p>
        </w:tc>
        <w:tc>
          <w:tcPr>
            <w:tcW w:w="3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0"/>
        </w:trPr>
        <w:tc>
          <w:tcPr>
            <w:tcW w:w="5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Major categories of the Company’s net investment income are summarized as follows: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12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2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12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6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w w:val="93"/>
              </w:rPr>
              <w:t>2026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31"/>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2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50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Fixed-maturity securities</w:t>
            </w: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3,270,975</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1,931,298</w:t>
            </w:r>
          </w:p>
        </w:tc>
        <w:tc>
          <w:tcPr>
            <w:tcW w:w="0" w:type="dxa"/>
            <w:vAlign w:val="bottom"/>
          </w:tcPr>
          <w:p>
            <w:pPr>
              <w:spacing w:after="0"/>
              <w:rPr>
                <w:sz w:val="1"/>
                <w:szCs w:val="1"/>
                <w:color w:val="auto"/>
              </w:rPr>
            </w:pPr>
          </w:p>
        </w:tc>
      </w:tr>
      <w:tr>
        <w:trPr>
          <w:trHeight w:val="21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123,531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123,435</w:t>
            </w:r>
          </w:p>
        </w:tc>
        <w:tc>
          <w:tcPr>
            <w:tcW w:w="0" w:type="dxa"/>
            <w:vAlign w:val="bottom"/>
          </w:tcPr>
          <w:p>
            <w:pPr>
              <w:spacing w:after="0"/>
              <w:rPr>
                <w:sz w:val="1"/>
                <w:szCs w:val="1"/>
                <w:color w:val="auto"/>
              </w:rPr>
            </w:pPr>
          </w:p>
        </w:tc>
      </w:tr>
      <w:tr>
        <w:trPr>
          <w:trHeight w:val="33"/>
        </w:trPr>
        <w:tc>
          <w:tcPr>
            <w:tcW w:w="50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40,661</w:t>
            </w:r>
          </w:p>
        </w:tc>
        <w:tc>
          <w:tcPr>
            <w:tcW w:w="0" w:type="dxa"/>
            <w:vAlign w:val="bottom"/>
          </w:tcPr>
          <w:p>
            <w:pPr>
              <w:spacing w:after="0"/>
              <w:rPr>
                <w:sz w:val="1"/>
                <w:szCs w:val="1"/>
                <w:color w:val="auto"/>
              </w:rPr>
            </w:pPr>
          </w:p>
        </w:tc>
      </w:tr>
      <w:tr>
        <w:trPr>
          <w:trHeight w:val="204"/>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6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3,445,482</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2,095,394</w:t>
            </w:r>
          </w:p>
        </w:tc>
        <w:tc>
          <w:tcPr>
            <w:tcW w:w="0" w:type="dxa"/>
            <w:vAlign w:val="bottom"/>
          </w:tcPr>
          <w:p>
            <w:pPr>
              <w:spacing w:after="0"/>
              <w:rPr>
                <w:sz w:val="1"/>
                <w:szCs w:val="1"/>
                <w:color w:val="auto"/>
              </w:rPr>
            </w:pPr>
          </w:p>
        </w:tc>
      </w:tr>
      <w:tr>
        <w:trPr>
          <w:trHeight w:val="33"/>
        </w:trPr>
        <w:tc>
          <w:tcPr>
            <w:tcW w:w="50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6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Investment expenses</w:t>
            </w: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107,901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46,798</w:t>
            </w:r>
          </w:p>
        </w:tc>
        <w:tc>
          <w:tcPr>
            <w:tcW w:w="0" w:type="dxa"/>
            <w:vAlign w:val="bottom"/>
          </w:tcPr>
          <w:p>
            <w:pPr>
              <w:spacing w:after="0"/>
              <w:rPr>
                <w:sz w:val="1"/>
                <w:szCs w:val="1"/>
                <w:color w:val="auto"/>
              </w:rPr>
            </w:pPr>
          </w:p>
        </w:tc>
      </w:tr>
      <w:tr>
        <w:trPr>
          <w:trHeight w:val="33"/>
        </w:trPr>
        <w:tc>
          <w:tcPr>
            <w:tcW w:w="5020" w:type="dxa"/>
            <w:vAlign w:val="bottom"/>
            <w:tcBorders>
              <w:bottom w:val="single" w:sz="8" w:color="CCEEFF"/>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3,337,581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2,048,596</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proceeds from the redemptions of fixed-maturity securities held-to-maturity for the three months ended March 31, 2026 and 2025, respectively.</w:t>
      </w:r>
    </w:p>
    <w:p>
      <w:pPr>
        <w:spacing w:after="0" w:line="23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Proceeds from the sale or maturity of fixed-maturity securities available-for-sale were $6,108,053 and $6,669,556 for the three months ended March 31, 2026 and 2025,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proceeds from the sale of equity securities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net losses on investments are summarized as follows:</w:t>
      </w:r>
    </w:p>
    <w:p>
      <w:pPr>
        <w:spacing w:after="0" w:line="260" w:lineRule="exact"/>
        <w:rPr>
          <w:sz w:val="20"/>
          <w:szCs w:val="20"/>
          <w:color w:val="auto"/>
        </w:rPr>
      </w:pPr>
    </w:p>
    <w:p>
      <w:pPr>
        <w:jc w:val="center"/>
        <w:ind w:left="19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5" w:lineRule="exact"/>
        <w:rPr>
          <w:sz w:val="20"/>
          <w:szCs w:val="20"/>
          <w:color w:val="auto"/>
        </w:rPr>
      </w:pPr>
    </w:p>
    <w:p>
      <w:pPr>
        <w:jc w:val="center"/>
        <w:ind w:left="19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31"/>
        </w:trPr>
        <w:tc>
          <w:tcPr>
            <w:tcW w:w="502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Realized Gains (Losses)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0"/>
        </w:trPr>
        <w:tc>
          <w:tcPr>
            <w:tcW w:w="50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Fixed-maturity securities: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realized gains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0" w:type="dxa"/>
            <w:vAlign w:val="bottom"/>
          </w:tcPr>
          <w:p>
            <w:pPr>
              <w:spacing w:after="0"/>
              <w:rPr>
                <w:sz w:val="1"/>
                <w:szCs w:val="1"/>
                <w:color w:val="auto"/>
              </w:rPr>
            </w:pPr>
          </w:p>
        </w:tc>
      </w:tr>
      <w:tr>
        <w:trPr>
          <w:trHeight w:val="210"/>
        </w:trPr>
        <w:tc>
          <w:tcPr>
            <w:tcW w:w="5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Gross realized losses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(2,514)</w:t>
            </w:r>
          </w:p>
        </w:tc>
        <w:tc>
          <w:tcPr>
            <w:tcW w:w="0" w:type="dxa"/>
            <w:vAlign w:val="bottom"/>
          </w:tcPr>
          <w:p>
            <w:pPr>
              <w:spacing w:after="0"/>
              <w:rPr>
                <w:sz w:val="1"/>
                <w:szCs w:val="1"/>
                <w:color w:val="auto"/>
              </w:rPr>
            </w:pPr>
          </w:p>
        </w:tc>
      </w:tr>
      <w:tr>
        <w:trPr>
          <w:trHeight w:val="33"/>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realized losses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Unrealized Gains (Losses)</w:t>
            </w:r>
          </w:p>
        </w:tc>
        <w:tc>
          <w:tcPr>
            <w:tcW w:w="3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Equity Securities:</w:t>
            </w:r>
          </w:p>
        </w:tc>
        <w:tc>
          <w:tcPr>
            <w:tcW w:w="3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Gross gains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losses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(193,330)</w:t>
            </w:r>
          </w:p>
        </w:tc>
        <w:tc>
          <w:tcPr>
            <w:tcW w:w="0" w:type="dxa"/>
            <w:vAlign w:val="bottom"/>
          </w:tcPr>
          <w:p>
            <w:pPr>
              <w:spacing w:after="0"/>
              <w:rPr>
                <w:sz w:val="1"/>
                <w:szCs w:val="1"/>
                <w:color w:val="auto"/>
              </w:rPr>
            </w:pPr>
          </w:p>
        </w:tc>
      </w:tr>
      <w:tr>
        <w:trPr>
          <w:trHeight w:val="204"/>
        </w:trPr>
        <w:tc>
          <w:tcPr>
            <w:tcW w:w="50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(216,795)</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(193,330)</w:t>
            </w:r>
          </w:p>
        </w:tc>
        <w:tc>
          <w:tcPr>
            <w:tcW w:w="0" w:type="dxa"/>
            <w:vAlign w:val="bottom"/>
          </w:tcPr>
          <w:p>
            <w:pPr>
              <w:spacing w:after="0"/>
              <w:rPr>
                <w:sz w:val="1"/>
                <w:szCs w:val="1"/>
                <w:color w:val="auto"/>
              </w:rPr>
            </w:pPr>
          </w:p>
        </w:tc>
      </w:tr>
      <w:tr>
        <w:trPr>
          <w:trHeight w:val="33"/>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0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Other Investments: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5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Gross gains</w:t>
            </w:r>
          </w:p>
        </w:tc>
        <w:tc>
          <w:tcPr>
            <w:tcW w:w="3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57,077</w:t>
            </w:r>
          </w:p>
        </w:tc>
        <w:tc>
          <w:tcPr>
            <w:tcW w:w="0" w:type="dxa"/>
            <w:vAlign w:val="bottom"/>
          </w:tcPr>
          <w:p>
            <w:pPr>
              <w:spacing w:after="0"/>
              <w:rPr>
                <w:sz w:val="1"/>
                <w:szCs w:val="1"/>
                <w:color w:val="auto"/>
              </w:rPr>
            </w:pPr>
          </w:p>
        </w:tc>
      </w:tr>
      <w:tr>
        <w:trPr>
          <w:trHeight w:val="210"/>
        </w:trPr>
        <w:tc>
          <w:tcPr>
            <w:tcW w:w="5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Gross losses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(795,629)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0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(795,629)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57,077</w:t>
            </w: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unrealized losses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(1,012,424)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(136,253)</w:t>
            </w:r>
          </w:p>
        </w:tc>
        <w:tc>
          <w:tcPr>
            <w:tcW w:w="0" w:type="dxa"/>
            <w:vAlign w:val="bottom"/>
          </w:tcPr>
          <w:p>
            <w:pPr>
              <w:spacing w:after="0"/>
              <w:rPr>
                <w:sz w:val="1"/>
                <w:szCs w:val="1"/>
                <w:color w:val="auto"/>
              </w:rPr>
            </w:pPr>
          </w:p>
        </w:tc>
      </w:tr>
      <w:tr>
        <w:trPr>
          <w:trHeight w:val="236"/>
        </w:trPr>
        <w:tc>
          <w:tcPr>
            <w:tcW w:w="50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5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losses on investments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(1,015,347)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(137,979)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Allowance for Credit Loss</w:t>
      </w:r>
    </w:p>
    <w:p>
      <w:pPr>
        <w:spacing w:after="0" w:line="2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For available-for-sale fixed maturity securities, a credit loss exists if the present value of cash flows expected to be collected is less than the amortized cost basis. The allowance for credit losses related to available-for-sale fixed maturity securities is the difference between the present value of cash flows expected to be collected and the amortized cost basis, limited by the amount that the fair value is less than the amortized cost basis. The Company considers all available evidence when determining whether an investment requires a credit loss write-down or allowance to be recorded, which is recognized in net loss through an allowance for credit losses. Any remaining decline in fair value represents the noncredit portion of the impairment, which is recognized in other comprehensive income (loss).</w:t>
      </w:r>
    </w:p>
    <w:p>
      <w:pPr>
        <w:spacing w:after="0" w:line="19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Company did not identify any available-for-sale securities as of March 31, 2026 and December 31, 2025 which presented a risk of loss due to credit deterioration of the security.</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At March 31, 2026 and December 31, 2025, there were 244 and 125 fixed-maturity securities, respectively, that accounted for the gross unrealized losses. The Company determined that none of the unrealized losses were deemed to be credit losses for its portfolio of investments for the three months ended March 31, 2026 and 2025. Significant factors influencing the Company’s determination that unrealized losses were temporary included credit quality considerations, the magnitude of the unrealized losses in relation to each security’s cost, the nature of the investment and interest rate environment factors, and management’s intent and ability to hold the investment for a period of time sufficient to allow for an anticipated recovery of estimated fair value to the Company’s cost basis.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held available-for-sale securities with unrealized losses representing declines that were considered temporary at March 31, 2026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6"/>
          </w:tcPr>
          <w:p>
            <w:pPr>
              <w:ind w:left="5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40" w:type="dxa"/>
            <w:vAlign w:val="bottom"/>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jc w:val="center"/>
              <w:ind w:right="300"/>
              <w:spacing w:after="0" w:line="181"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No. of</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79"/>
              <w:spacing w:after="0" w:line="181"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No. of</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jc w:val="center"/>
              <w:ind w:right="300"/>
              <w:spacing w:after="0" w:line="181"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10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Positions</w:t>
            </w:r>
          </w:p>
        </w:tc>
        <w:tc>
          <w:tcPr>
            <w:tcW w:w="140" w:type="dxa"/>
            <w:vAlign w:val="bottom"/>
          </w:tcPr>
          <w:p>
            <w:pPr>
              <w:spacing w:after="0"/>
              <w:rPr>
                <w:sz w:val="17"/>
                <w:szCs w:val="17"/>
                <w:color w:val="auto"/>
              </w:rPr>
            </w:pPr>
          </w:p>
        </w:tc>
        <w:tc>
          <w:tcPr>
            <w:tcW w:w="9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Fair</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Positions</w:t>
            </w:r>
          </w:p>
        </w:tc>
        <w:tc>
          <w:tcPr>
            <w:tcW w:w="1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80" w:type="dxa"/>
            <w:vAlign w:val="bottom"/>
          </w:tcPr>
          <w:p>
            <w:pPr>
              <w:spacing w:after="0"/>
              <w:rPr>
                <w:sz w:val="17"/>
                <w:szCs w:val="17"/>
                <w:color w:val="auto"/>
              </w:rPr>
            </w:pPr>
          </w:p>
        </w:tc>
        <w:tc>
          <w:tcPr>
            <w:tcW w:w="10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0" w:type="dxa"/>
            <w:vAlign w:val="bottom"/>
          </w:tcPr>
          <w:p>
            <w:pPr>
              <w:spacing w:after="0"/>
              <w:rPr>
                <w:sz w:val="1"/>
                <w:szCs w:val="1"/>
                <w:color w:val="auto"/>
              </w:rPr>
            </w:pPr>
          </w:p>
        </w:tc>
      </w:tr>
      <w:tr>
        <w:trPr>
          <w:trHeight w:val="214"/>
        </w:trPr>
        <w:tc>
          <w:tcPr>
            <w:tcW w:w="14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80" w:type="dxa"/>
            <w:vAlign w:val="bottom"/>
          </w:tcPr>
          <w:p>
            <w:pPr>
              <w:spacing w:after="0"/>
              <w:rPr>
                <w:sz w:val="18"/>
                <w:szCs w:val="18"/>
                <w:color w:val="auto"/>
              </w:rPr>
            </w:pP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Held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Held</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425"/>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and</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58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obligations of U.S.</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government</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corporations and</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996,250</w:t>
            </w:r>
          </w:p>
        </w:tc>
        <w:tc>
          <w:tcPr>
            <w:tcW w:w="8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8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996,250</w:t>
            </w:r>
          </w:p>
        </w:tc>
        <w:tc>
          <w:tcPr>
            <w:tcW w:w="8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0" w:type="dxa"/>
            <w:vAlign w:val="bottom"/>
          </w:tcPr>
          <w:p>
            <w:pPr>
              <w:spacing w:after="0"/>
              <w:rPr>
                <w:sz w:val="1"/>
                <w:szCs w:val="1"/>
                <w:color w:val="auto"/>
              </w:rPr>
            </w:pPr>
          </w:p>
        </w:tc>
      </w:tr>
      <w:tr>
        <w:trPr>
          <w:trHeight w:val="230"/>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agencies</w:t>
            </w:r>
          </w:p>
        </w:tc>
        <w:tc>
          <w:tcPr>
            <w:tcW w:w="16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320" w:type="dxa"/>
            <w:vAlign w:val="bottom"/>
            <w:gridSpan w:val="3"/>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Political subdivisions</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of States, Territories</w:t>
            </w:r>
          </w:p>
        </w:tc>
        <w:tc>
          <w:tcPr>
            <w:tcW w:w="16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13,910,850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(2,542,986)</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13,910,850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(2,542,986)</w:t>
            </w:r>
          </w:p>
        </w:tc>
        <w:tc>
          <w:tcPr>
            <w:tcW w:w="0" w:type="dxa"/>
            <w:vAlign w:val="bottom"/>
          </w:tcPr>
          <w:p>
            <w:pPr>
              <w:spacing w:after="0"/>
              <w:rPr>
                <w:sz w:val="1"/>
                <w:szCs w:val="1"/>
                <w:color w:val="auto"/>
              </w:rPr>
            </w:pPr>
          </w:p>
        </w:tc>
      </w:tr>
      <w:tr>
        <w:trPr>
          <w:trHeight w:val="220"/>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and Possessions</w:t>
            </w: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bonds industrial and</w:t>
            </w:r>
          </w:p>
        </w:tc>
        <w:tc>
          <w:tcPr>
            <w:tcW w:w="16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86,124,829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(843,219)</w:t>
            </w:r>
          </w:p>
        </w:tc>
        <w:tc>
          <w:tcPr>
            <w:tcW w:w="8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34,340,099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(2,828,182)</w:t>
            </w:r>
          </w:p>
        </w:tc>
        <w:tc>
          <w:tcPr>
            <w:tcW w:w="10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120,464,928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(3,671,401)</w:t>
            </w:r>
          </w:p>
        </w:tc>
        <w:tc>
          <w:tcPr>
            <w:tcW w:w="0" w:type="dxa"/>
            <w:vAlign w:val="bottom"/>
          </w:tcPr>
          <w:p>
            <w:pPr>
              <w:spacing w:after="0"/>
              <w:rPr>
                <w:sz w:val="1"/>
                <w:szCs w:val="1"/>
                <w:color w:val="auto"/>
              </w:rPr>
            </w:pPr>
          </w:p>
        </w:tc>
      </w:tr>
      <w:tr>
        <w:trPr>
          <w:trHeight w:val="230"/>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miscellaneous</w:t>
            </w: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and other asset</w:t>
            </w:r>
          </w:p>
        </w:tc>
        <w:tc>
          <w:tcPr>
            <w:tcW w:w="16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55,468,419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(461,679)</w:t>
            </w:r>
          </w:p>
        </w:tc>
        <w:tc>
          <w:tcPr>
            <w:tcW w:w="8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29,068,870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(4,559,545)</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84,537,289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(5,021,224)</w:t>
            </w:r>
          </w:p>
        </w:tc>
        <w:tc>
          <w:tcPr>
            <w:tcW w:w="0" w:type="dxa"/>
            <w:vAlign w:val="bottom"/>
          </w:tcPr>
          <w:p>
            <w:pPr>
              <w:spacing w:after="0"/>
              <w:rPr>
                <w:sz w:val="1"/>
                <w:szCs w:val="1"/>
                <w:color w:val="auto"/>
              </w:rPr>
            </w:pPr>
          </w:p>
        </w:tc>
      </w:tr>
      <w:tr>
        <w:trPr>
          <w:trHeight w:val="223"/>
        </w:trPr>
        <w:tc>
          <w:tcPr>
            <w:tcW w:w="1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backed securities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58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Total fixed-maturity</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142,589,498</w:t>
            </w: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(1,305,836)</w:t>
            </w:r>
          </w:p>
        </w:tc>
        <w:tc>
          <w:tcPr>
            <w:tcW w:w="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77,319,819</w:t>
            </w:r>
          </w:p>
        </w:tc>
        <w:tc>
          <w:tcPr>
            <w:tcW w:w="3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(9,930,713)</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219,909,317</w:t>
            </w:r>
          </w:p>
        </w:tc>
        <w:tc>
          <w:tcPr>
            <w:tcW w:w="8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(11,236,549)</w:t>
            </w:r>
          </w:p>
        </w:tc>
        <w:tc>
          <w:tcPr>
            <w:tcW w:w="0" w:type="dxa"/>
            <w:vAlign w:val="bottom"/>
          </w:tcPr>
          <w:p>
            <w:pPr>
              <w:spacing w:after="0"/>
              <w:rPr>
                <w:sz w:val="1"/>
                <w:szCs w:val="1"/>
                <w:color w:val="auto"/>
              </w:rPr>
            </w:pPr>
          </w:p>
        </w:tc>
      </w:tr>
      <w:tr>
        <w:trPr>
          <w:trHeight w:val="223"/>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16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320" w:type="dxa"/>
            <w:vAlign w:val="bottom"/>
            <w:gridSpan w:val="3"/>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held available-for-sale securities with unrealized losses representing declines that were considered temporary at December 31, 2025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6"/>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00" w:type="dxa"/>
            <w:vAlign w:val="bottom"/>
            <w:gridSpan w:val="6"/>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right="59"/>
              <w:spacing w:after="0" w:line="181"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center"/>
              <w:ind w:right="99"/>
              <w:spacing w:after="0" w:line="181" w:lineRule="exact"/>
              <w:rPr>
                <w:sz w:val="20"/>
                <w:szCs w:val="20"/>
                <w:color w:val="auto"/>
              </w:rPr>
            </w:pPr>
            <w:r>
              <w:rPr>
                <w:rFonts w:ascii="Times New Roman" w:cs="Times New Roman" w:eastAsia="Times New Roman" w:hAnsi="Times New Roman"/>
                <w:sz w:val="16"/>
                <w:szCs w:val="16"/>
                <w:b w:val="1"/>
                <w:bCs w:val="1"/>
                <w:color w:val="auto"/>
                <w:w w:val="97"/>
              </w:rPr>
              <w:t>No. of</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159"/>
              <w:spacing w:after="0" w:line="181"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7"/>
              </w:rPr>
              <w:t>No. of</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tcPr>
          <w:p>
            <w:pPr>
              <w:jc w:val="center"/>
              <w:ind w:right="260"/>
              <w:spacing w:after="0" w:line="181"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10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Fair</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Positions</w:t>
            </w:r>
          </w:p>
        </w:tc>
        <w:tc>
          <w:tcPr>
            <w:tcW w:w="160" w:type="dxa"/>
            <w:vAlign w:val="bottom"/>
          </w:tcPr>
          <w:p>
            <w:pPr>
              <w:spacing w:after="0"/>
              <w:rPr>
                <w:sz w:val="17"/>
                <w:szCs w:val="17"/>
                <w:color w:val="auto"/>
              </w:rPr>
            </w:pPr>
          </w:p>
        </w:tc>
        <w:tc>
          <w:tcPr>
            <w:tcW w:w="9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Fair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Positions</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Pr>
          <w:p>
            <w:pPr>
              <w:spacing w:after="0"/>
              <w:rPr>
                <w:sz w:val="17"/>
                <w:szCs w:val="17"/>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0" w:type="dxa"/>
            <w:vAlign w:val="bottom"/>
          </w:tcPr>
          <w:p>
            <w:pPr>
              <w:spacing w:after="0"/>
              <w:rPr>
                <w:sz w:val="1"/>
                <w:szCs w:val="1"/>
                <w:color w:val="auto"/>
              </w:rPr>
            </w:pPr>
          </w:p>
        </w:tc>
      </w:tr>
      <w:tr>
        <w:trPr>
          <w:trHeight w:val="214"/>
        </w:trPr>
        <w:tc>
          <w:tcPr>
            <w:tcW w:w="14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Held</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Held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384"/>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Political subdivisions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States, Territories</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13,926,802</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(2,534,725)</w:t>
            </w:r>
          </w:p>
        </w:tc>
        <w:tc>
          <w:tcPr>
            <w:tcW w:w="10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13,926,802</w:t>
            </w:r>
          </w:p>
        </w:tc>
        <w:tc>
          <w:tcPr>
            <w:tcW w:w="8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(2,534,725)</w:t>
            </w:r>
          </w:p>
        </w:tc>
        <w:tc>
          <w:tcPr>
            <w:tcW w:w="0" w:type="dxa"/>
            <w:vAlign w:val="bottom"/>
          </w:tcPr>
          <w:p>
            <w:pPr>
              <w:spacing w:after="0"/>
              <w:rPr>
                <w:sz w:val="1"/>
                <w:szCs w:val="1"/>
                <w:color w:val="auto"/>
              </w:rPr>
            </w:pPr>
          </w:p>
        </w:tc>
      </w:tr>
      <w:tr>
        <w:trPr>
          <w:trHeight w:val="230"/>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Possessions</w:t>
            </w:r>
          </w:p>
        </w:tc>
        <w:tc>
          <w:tcPr>
            <w:tcW w:w="1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300" w:type="dxa"/>
            <w:vAlign w:val="bottom"/>
            <w:gridSpan w:val="3"/>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Corporate and other</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bonds industrial and</w:t>
            </w:r>
          </w:p>
        </w:tc>
        <w:tc>
          <w:tcPr>
            <w:tcW w:w="14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21,525,673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(118,901)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34,677,856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(2,540,470)</w:t>
            </w:r>
          </w:p>
        </w:tc>
        <w:tc>
          <w:tcPr>
            <w:tcW w:w="10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56,203,529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(2,659,371)</w:t>
            </w:r>
          </w:p>
        </w:tc>
        <w:tc>
          <w:tcPr>
            <w:tcW w:w="0" w:type="dxa"/>
            <w:vAlign w:val="bottom"/>
          </w:tcPr>
          <w:p>
            <w:pPr>
              <w:spacing w:after="0"/>
              <w:rPr>
                <w:sz w:val="1"/>
                <w:szCs w:val="1"/>
                <w:color w:val="auto"/>
              </w:rPr>
            </w:pPr>
          </w:p>
        </w:tc>
      </w:tr>
      <w:tr>
        <w:trPr>
          <w:trHeight w:val="220"/>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miscellaneous</w:t>
            </w:r>
          </w:p>
        </w:tc>
        <w:tc>
          <w:tcPr>
            <w:tcW w:w="1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other asset</w:t>
            </w:r>
          </w:p>
        </w:tc>
        <w:tc>
          <w:tcPr>
            <w:tcW w:w="14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18,055,734</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(62,968)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29,673,084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(4,477,673)</w:t>
            </w:r>
          </w:p>
        </w:tc>
        <w:tc>
          <w:tcPr>
            <w:tcW w:w="10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47,728,818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(4,540,641)</w:t>
            </w:r>
          </w:p>
        </w:tc>
        <w:tc>
          <w:tcPr>
            <w:tcW w:w="0" w:type="dxa"/>
            <w:vAlign w:val="bottom"/>
          </w:tcPr>
          <w:p>
            <w:pPr>
              <w:spacing w:after="0"/>
              <w:rPr>
                <w:sz w:val="1"/>
                <w:szCs w:val="1"/>
                <w:color w:val="auto"/>
              </w:rPr>
            </w:pPr>
          </w:p>
        </w:tc>
      </w:tr>
      <w:tr>
        <w:trPr>
          <w:trHeight w:val="230"/>
        </w:trPr>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backed securities</w:t>
            </w: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58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6"/>
                <w:szCs w:val="16"/>
                <w:color w:val="auto"/>
              </w:rPr>
              <w:t>Total fixed-maturity</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39,581,407</w:t>
            </w:r>
          </w:p>
        </w:tc>
        <w:tc>
          <w:tcPr>
            <w:tcW w:w="3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(181,869)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78,277,742</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(9,552,868)</w:t>
            </w:r>
          </w:p>
        </w:tc>
        <w:tc>
          <w:tcPr>
            <w:tcW w:w="1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117,859,149</w:t>
            </w:r>
          </w:p>
        </w:tc>
        <w:tc>
          <w:tcPr>
            <w:tcW w:w="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auto"/>
              </w:rPr>
              <w:t>(9,734,737)</w:t>
            </w:r>
          </w:p>
        </w:tc>
        <w:tc>
          <w:tcPr>
            <w:tcW w:w="0" w:type="dxa"/>
            <w:vAlign w:val="bottom"/>
          </w:tcPr>
          <w:p>
            <w:pPr>
              <w:spacing w:after="0"/>
              <w:rPr>
                <w:sz w:val="1"/>
                <w:szCs w:val="1"/>
                <w:color w:val="auto"/>
              </w:rPr>
            </w:pPr>
          </w:p>
        </w:tc>
      </w:tr>
      <w:tr>
        <w:trPr>
          <w:trHeight w:val="203"/>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1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300" w:type="dxa"/>
            <w:vAlign w:val="bottom"/>
            <w:gridSpan w:val="3"/>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 Fair Value Measurements</w:t>
      </w:r>
    </w:p>
    <w:p>
      <w:pPr>
        <w:spacing w:after="0" w:line="22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following table presents information about the Company’s investments that are measured at fair value on a recurring basis at March 31, 2026 and December 31, 2025 indicating the level of the fair value hierarchy of the valuation inputs the Company utilized to determine such fair value: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gridSpan w:val="3"/>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5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1"/>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Fixed-maturity securities available-for-sale</w:t>
            </w: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0"/>
        </w:trPr>
        <w:tc>
          <w:tcPr>
            <w:tcW w:w="5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and obligations of U.S. government corporations</w:t>
            </w:r>
          </w:p>
        </w:tc>
        <w:tc>
          <w:tcPr>
            <w:tcW w:w="32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996,250</w:t>
            </w:r>
          </w:p>
        </w:tc>
        <w:tc>
          <w:tcPr>
            <w:tcW w:w="8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996,250</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agencies</w:t>
            </w:r>
          </w:p>
        </w:tc>
        <w:tc>
          <w:tcPr>
            <w:tcW w:w="32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Political subdivisions of States, Territories and Possessions</w:t>
            </w:r>
          </w:p>
        </w:tc>
        <w:tc>
          <w:tcPr>
            <w:tcW w:w="3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21,704,557</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21,704,557</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 bonds industrial and miscellaneous</w:t>
            </w:r>
          </w:p>
        </w:tc>
        <w:tc>
          <w:tcPr>
            <w:tcW w:w="3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135,447,416</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135,447,416</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and other asset backed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135,652,203</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135,652,203</w:t>
            </w:r>
          </w:p>
        </w:tc>
        <w:tc>
          <w:tcPr>
            <w:tcW w:w="0" w:type="dxa"/>
            <w:vAlign w:val="bottom"/>
          </w:tcPr>
          <w:p>
            <w:pPr>
              <w:spacing w:after="0"/>
              <w:rPr>
                <w:sz w:val="1"/>
                <w:szCs w:val="1"/>
                <w:color w:val="auto"/>
              </w:rPr>
            </w:pPr>
          </w:p>
        </w:tc>
      </w:tr>
      <w:tr>
        <w:trPr>
          <w:trHeight w:val="204"/>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fixed maturities</w:t>
            </w: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136,443,666</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157,356,760</w:t>
            </w:r>
          </w:p>
        </w:tc>
        <w:tc>
          <w:tcPr>
            <w:tcW w:w="8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293,800,426</w:t>
            </w: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Equity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9,839,800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9,839,800</w:t>
            </w:r>
          </w:p>
        </w:tc>
        <w:tc>
          <w:tcPr>
            <w:tcW w:w="0" w:type="dxa"/>
            <w:vAlign w:val="bottom"/>
          </w:tcPr>
          <w:p>
            <w:pPr>
              <w:spacing w:after="0"/>
              <w:rPr>
                <w:sz w:val="1"/>
                <w:szCs w:val="1"/>
                <w:color w:val="auto"/>
              </w:rPr>
            </w:pPr>
          </w:p>
        </w:tc>
      </w:tr>
      <w:tr>
        <w:trPr>
          <w:trHeight w:val="204"/>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investments, at fair value</w:t>
            </w: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146,283,466</w:t>
            </w:r>
          </w:p>
        </w:tc>
        <w:tc>
          <w:tcPr>
            <w:tcW w:w="80" w:type="dxa"/>
            <w:vAlign w:val="bottom"/>
          </w:tcPr>
          <w:p>
            <w:pPr>
              <w:spacing w:after="0"/>
              <w:rPr>
                <w:sz w:val="17"/>
                <w:szCs w:val="17"/>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157,356,760</w:t>
            </w:r>
          </w:p>
        </w:tc>
        <w:tc>
          <w:tcPr>
            <w:tcW w:w="80" w:type="dxa"/>
            <w:vAlign w:val="bottom"/>
          </w:tcPr>
          <w:p>
            <w:pPr>
              <w:spacing w:after="0"/>
              <w:rPr>
                <w:sz w:val="17"/>
                <w:szCs w:val="17"/>
                <w:color w:val="auto"/>
              </w:rPr>
            </w:pPr>
          </w:p>
        </w:tc>
        <w:tc>
          <w:tcPr>
            <w:tcW w:w="1180" w:type="dxa"/>
            <w:vAlign w:val="bottom"/>
            <w:tcBorders>
              <w:top w:val="single" w:sz="8" w:color="auto"/>
            </w:tcBorders>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303,640,226</w:t>
            </w: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gridSpan w:val="3"/>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5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1"/>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Fixed-maturity securities available-for-sale</w:t>
            </w: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7"/>
        </w:trPr>
        <w:tc>
          <w:tcPr>
            <w:tcW w:w="50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50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U.S. Treasury securities and obligations of U.S. government corporations</w:t>
            </w: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agencies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1,007,190</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1,007,190</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Political subdivisions of States, Territories and Possessions</w:t>
            </w:r>
          </w:p>
        </w:tc>
        <w:tc>
          <w:tcPr>
            <w:tcW w:w="3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21,773,433</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21,773,433</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 bonds industrial and miscellaneous</w:t>
            </w:r>
          </w:p>
        </w:tc>
        <w:tc>
          <w:tcPr>
            <w:tcW w:w="3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129,866,682</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129,866,682</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and other asset backed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136,389,885</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136,389,885</w:t>
            </w:r>
          </w:p>
        </w:tc>
        <w:tc>
          <w:tcPr>
            <w:tcW w:w="0" w:type="dxa"/>
            <w:vAlign w:val="bottom"/>
          </w:tcPr>
          <w:p>
            <w:pPr>
              <w:spacing w:after="0"/>
              <w:rPr>
                <w:sz w:val="1"/>
                <w:szCs w:val="1"/>
                <w:color w:val="auto"/>
              </w:rPr>
            </w:pPr>
          </w:p>
        </w:tc>
      </w:tr>
      <w:tr>
        <w:trPr>
          <w:trHeight w:val="204"/>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fixed maturities</w:t>
            </w: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130,873,872</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158,163,318</w:t>
            </w:r>
          </w:p>
        </w:tc>
        <w:tc>
          <w:tcPr>
            <w:tcW w:w="8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289,037,190</w:t>
            </w: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Equity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10,056,595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10,056,595</w:t>
            </w:r>
          </w:p>
        </w:tc>
        <w:tc>
          <w:tcPr>
            <w:tcW w:w="0" w:type="dxa"/>
            <w:vAlign w:val="bottom"/>
          </w:tcPr>
          <w:p>
            <w:pPr>
              <w:spacing w:after="0"/>
              <w:rPr>
                <w:sz w:val="1"/>
                <w:szCs w:val="1"/>
                <w:color w:val="auto"/>
              </w:rPr>
            </w:pPr>
          </w:p>
        </w:tc>
      </w:tr>
      <w:tr>
        <w:trPr>
          <w:trHeight w:val="204"/>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investments, at fair value</w:t>
            </w: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140,930,467</w:t>
            </w:r>
          </w:p>
        </w:tc>
        <w:tc>
          <w:tcPr>
            <w:tcW w:w="80" w:type="dxa"/>
            <w:vAlign w:val="bottom"/>
          </w:tcPr>
          <w:p>
            <w:pPr>
              <w:spacing w:after="0"/>
              <w:rPr>
                <w:sz w:val="17"/>
                <w:szCs w:val="17"/>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158,163,318</w:t>
            </w:r>
          </w:p>
        </w:tc>
        <w:tc>
          <w:tcPr>
            <w:tcW w:w="80" w:type="dxa"/>
            <w:vAlign w:val="bottom"/>
          </w:tcPr>
          <w:p>
            <w:pPr>
              <w:spacing w:after="0"/>
              <w:rPr>
                <w:sz w:val="17"/>
                <w:szCs w:val="17"/>
                <w:color w:val="auto"/>
              </w:rPr>
            </w:pPr>
          </w:p>
        </w:tc>
        <w:tc>
          <w:tcPr>
            <w:tcW w:w="1180" w:type="dxa"/>
            <w:vAlign w:val="bottom"/>
            <w:tcBorders>
              <w:top w:val="single" w:sz="8" w:color="auto"/>
            </w:tcBorders>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299,093,785</w:t>
            </w: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following table sets forth the Company’s investment in a hedge fund measured at Net Asset Value (“NAV”) per share as of March 31, 2026 and December 31, 2025. The Company measures this investment at fair value on a recurring basis. Fair value using NAV per share is as follows as of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5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33"/>
        </w:trPr>
        <w:tc>
          <w:tcPr>
            <w:tcW w:w="8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40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Investments</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Hedge fund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3,756,749</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4,552,378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The hedge fund investment is generally redeemable with at least 45 days prior written notice. The hedge fund investment is accounted for as a limited partnership by the Company. Income is earned based upon the Company’s allocated share of the partnership's changes in unrealized gains and losses to its partners, which are recorded in the condensed consolidated statements of operations and comprehensive (loss) income within net gains on investments.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 Fair Value of Financial Instruments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estimated fair values of the Company’s financial instruments, including their fair value level as of March 31, 2026 and December 31, 2025 are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gridSpan w:val="5"/>
          </w:tcPr>
          <w:p>
            <w:pPr>
              <w:ind w:left="9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18"/>
                <w:szCs w:val="18"/>
                <w:color w:val="auto"/>
              </w:rPr>
            </w:pPr>
          </w:p>
        </w:tc>
        <w:tc>
          <w:tcPr>
            <w:tcW w:w="2900" w:type="dxa"/>
            <w:vAlign w:val="bottom"/>
            <w:gridSpan w:val="4"/>
          </w:tcPr>
          <w:p>
            <w:pPr>
              <w:jc w:val="right"/>
              <w:ind w:right="79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33"/>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6"/>
        </w:trPr>
        <w:tc>
          <w:tcPr>
            <w:tcW w:w="5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31"/>
        </w:trPr>
        <w:tc>
          <w:tcPr>
            <w:tcW w:w="5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Fixed-maturity securities, held-to maturity, Level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6,041,016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5,053,137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6,042,348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5,137,267</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Fixed-maturity securities, available-for-sale, Level 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136,443,666</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136,443,666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130,873,872</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130,873,872</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Fixed-maturity securities, available-for-sale, Level 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157,356,760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157,356,760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158,163,318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158,163,318</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Level 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11,355,391</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11,355,391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12,178,730</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12,178,730</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receivable, net, Level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19,027,968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19,027,968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21,012,408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21,012,408</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Reinsurance receivables, net, Level 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57,996,924</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57,996,924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58,996,945</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58,996,945</w:t>
            </w: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Reinsurance balances payable, Level 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4,775,176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4,775,176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5,232,319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5,232,319</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 Equipment financing, Level 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4,122,971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4,081,330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4,440,127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4,380,922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6 – Property and Casualty Insurance Activity</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5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Premiums Earned</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Premiums written, ceded and earned are as follows: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Direct</w:t>
            </w:r>
          </w:p>
        </w:tc>
        <w:tc>
          <w:tcPr>
            <w:tcW w:w="260" w:type="dxa"/>
            <w:vAlign w:val="bottom"/>
          </w:tcPr>
          <w:p>
            <w:pPr>
              <w:spacing w:after="0"/>
              <w:rPr>
                <w:sz w:val="24"/>
                <w:szCs w:val="24"/>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Assumed</w:t>
            </w:r>
          </w:p>
        </w:tc>
        <w:tc>
          <w:tcPr>
            <w:tcW w:w="30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Ceded</w:t>
            </w:r>
          </w:p>
        </w:tc>
        <w:tc>
          <w:tcPr>
            <w:tcW w:w="360" w:type="dxa"/>
            <w:vAlign w:val="bottom"/>
          </w:tcPr>
          <w:p>
            <w:pPr>
              <w:spacing w:after="0"/>
              <w:rPr>
                <w:sz w:val="24"/>
                <w:szCs w:val="24"/>
                <w:color w:val="auto"/>
              </w:rPr>
            </w:pPr>
          </w:p>
        </w:tc>
        <w:tc>
          <w:tcPr>
            <w:tcW w:w="11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33"/>
        </w:trPr>
        <w:tc>
          <w:tcPr>
            <w:tcW w:w="5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7"/>
        </w:trPr>
        <w:tc>
          <w:tcPr>
            <w:tcW w:w="50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0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Premiums written</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69,603,381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7,989,856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77,593,237</w:t>
            </w:r>
          </w:p>
        </w:tc>
        <w:tc>
          <w:tcPr>
            <w:tcW w:w="0" w:type="dxa"/>
            <w:vAlign w:val="bottom"/>
          </w:tcPr>
          <w:p>
            <w:pPr>
              <w:spacing w:after="0"/>
              <w:rPr>
                <w:sz w:val="1"/>
                <w:szCs w:val="1"/>
                <w:color w:val="auto"/>
              </w:rPr>
            </w:pPr>
          </w:p>
        </w:tc>
      </w:tr>
      <w:tr>
        <w:trPr>
          <w:trHeight w:val="21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Change in unearned premiums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385,341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(22,109,764)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(21,724,423)</w:t>
            </w:r>
          </w:p>
        </w:tc>
        <w:tc>
          <w:tcPr>
            <w:tcW w:w="0" w:type="dxa"/>
            <w:vAlign w:val="bottom"/>
          </w:tcPr>
          <w:p>
            <w:pPr>
              <w:spacing w:after="0"/>
              <w:rPr>
                <w:sz w:val="1"/>
                <w:szCs w:val="1"/>
                <w:color w:val="auto"/>
              </w:rPr>
            </w:pPr>
          </w:p>
        </w:tc>
      </w:tr>
      <w:tr>
        <w:trPr>
          <w:trHeight w:val="33"/>
        </w:trPr>
        <w:tc>
          <w:tcPr>
            <w:tcW w:w="502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Premiums earned</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69,988,722</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(14,119,908)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rPr>
              <w:t>55,868,814</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3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Premiums written</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58,174,996</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2,834,411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61,009,407</w:t>
            </w:r>
          </w:p>
        </w:tc>
        <w:tc>
          <w:tcPr>
            <w:tcW w:w="0" w:type="dxa"/>
            <w:vAlign w:val="bottom"/>
          </w:tcPr>
          <w:p>
            <w:pPr>
              <w:spacing w:after="0"/>
              <w:rPr>
                <w:sz w:val="1"/>
                <w:szCs w:val="1"/>
                <w:color w:val="auto"/>
              </w:rPr>
            </w:pPr>
          </w:p>
        </w:tc>
      </w:tr>
      <w:tr>
        <w:trPr>
          <w:trHeight w:val="33"/>
        </w:trPr>
        <w:tc>
          <w:tcPr>
            <w:tcW w:w="50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unearned premiums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2,470,381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(19,956,725)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rPr>
              <w:t>(17,486,344)</w:t>
            </w:r>
          </w:p>
        </w:tc>
        <w:tc>
          <w:tcPr>
            <w:tcW w:w="0" w:type="dxa"/>
            <w:vAlign w:val="bottom"/>
          </w:tcPr>
          <w:p>
            <w:pPr>
              <w:spacing w:after="0"/>
              <w:rPr>
                <w:sz w:val="1"/>
                <w:szCs w:val="1"/>
                <w:color w:val="auto"/>
              </w:rPr>
            </w:pPr>
          </w:p>
        </w:tc>
      </w:tr>
      <w:tr>
        <w:trPr>
          <w:trHeight w:val="204"/>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Premiums earned</w:t>
            </w: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60,645,377</w:t>
            </w:r>
          </w:p>
        </w:tc>
        <w:tc>
          <w:tcPr>
            <w:tcW w:w="80" w:type="dxa"/>
            <w:vAlign w:val="bottom"/>
          </w:tcPr>
          <w:p>
            <w:pPr>
              <w:spacing w:after="0"/>
              <w:rPr>
                <w:sz w:val="17"/>
                <w:szCs w:val="17"/>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(17,122,314)</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center"/>
              <w:ind w:left="179"/>
              <w:spacing w:after="0"/>
              <w:rPr>
                <w:sz w:val="20"/>
                <w:szCs w:val="20"/>
                <w:color w:val="auto"/>
              </w:rPr>
            </w:pPr>
            <w:r>
              <w:rPr>
                <w:rFonts w:ascii="Times New Roman" w:cs="Times New Roman" w:eastAsia="Times New Roman" w:hAnsi="Times New Roman"/>
                <w:sz w:val="16"/>
                <w:szCs w:val="16"/>
                <w:color w:val="auto"/>
              </w:rPr>
              <w:t>43,523,063</w:t>
            </w:r>
          </w:p>
        </w:tc>
        <w:tc>
          <w:tcPr>
            <w:tcW w:w="0" w:type="dxa"/>
            <w:vAlign w:val="bottom"/>
          </w:tcPr>
          <w:p>
            <w:pPr>
              <w:spacing w:after="0"/>
              <w:rPr>
                <w:sz w:val="1"/>
                <w:szCs w:val="1"/>
                <w:color w:val="auto"/>
              </w:rPr>
            </w:pPr>
          </w:p>
        </w:tc>
      </w:tr>
      <w:tr>
        <w:trPr>
          <w:trHeight w:val="33"/>
        </w:trPr>
        <w:tc>
          <w:tcPr>
            <w:tcW w:w="11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Premium receipts in advance of the policy effective date are recorded as advance premiums. The balance of advance premiums as of March 31, 2026 and December 31, 2025 was $5,897,368 and $4,003,453, respectively.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Loss and Loss Adjustment Expense Reserves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
        </w:trPr>
        <w:tc>
          <w:tcPr>
            <w:tcW w:w="294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33"/>
        </w:trPr>
        <w:tc>
          <w:tcPr>
            <w:tcW w:w="8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following table provides a reconciliation of the beginning and ending balances for unpaid loss and LAE reserves:</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22"/>
        </w:trPr>
        <w:tc>
          <w:tcPr>
            <w:tcW w:w="29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160" w:type="dxa"/>
            <w:vAlign w:val="bottom"/>
          </w:tcPr>
          <w:p>
            <w:pPr>
              <w:spacing w:after="0"/>
              <w:rPr>
                <w:sz w:val="24"/>
                <w:szCs w:val="24"/>
                <w:color w:val="auto"/>
              </w:rPr>
            </w:pPr>
          </w:p>
        </w:tc>
        <w:tc>
          <w:tcPr>
            <w:tcW w:w="12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12"/>
        </w:trPr>
        <w:tc>
          <w:tcPr>
            <w:tcW w:w="294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ended March 31,</w:t>
            </w:r>
          </w:p>
        </w:tc>
        <w:tc>
          <w:tcPr>
            <w:tcW w:w="160" w:type="dxa"/>
            <w:vAlign w:val="bottom"/>
          </w:tcPr>
          <w:p>
            <w:pPr>
              <w:spacing w:after="0"/>
              <w:rPr>
                <w:sz w:val="18"/>
                <w:szCs w:val="18"/>
                <w:color w:val="auto"/>
              </w:rPr>
            </w:pPr>
          </w:p>
        </w:tc>
        <w:tc>
          <w:tcPr>
            <w:tcW w:w="12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30"/>
        </w:trPr>
        <w:tc>
          <w:tcPr>
            <w:tcW w:w="294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33"/>
        </w:trPr>
        <w:tc>
          <w:tcPr>
            <w:tcW w:w="804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23"/>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140,538,618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126,210,428</w:t>
            </w:r>
          </w:p>
        </w:tc>
      </w:tr>
      <w:tr>
        <w:trPr>
          <w:trHeight w:val="210"/>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reinsurance recoverables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(33,232,365)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(32,322,637)</w:t>
            </w:r>
          </w:p>
        </w:tc>
      </w:tr>
      <w:tr>
        <w:trPr>
          <w:trHeight w:val="33"/>
        </w:trPr>
        <w:tc>
          <w:tcPr>
            <w:tcW w:w="80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6"/>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balance, beginning of period</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107,306,253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93,887,791</w:t>
            </w:r>
          </w:p>
        </w:tc>
      </w:tr>
      <w:tr>
        <w:trPr>
          <w:trHeight w:val="237"/>
        </w:trPr>
        <w:tc>
          <w:tcPr>
            <w:tcW w:w="294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23"/>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Incurred related to:</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r>
      <w:tr>
        <w:trPr>
          <w:trHeight w:val="210"/>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year</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46,838,450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85,349,385</w:t>
            </w:r>
          </w:p>
        </w:tc>
      </w:tr>
      <w:tr>
        <w:trPr>
          <w:trHeight w:val="33"/>
        </w:trPr>
        <w:tc>
          <w:tcPr>
            <w:tcW w:w="8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Prior years</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(1,264,066)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(1,083,663)</w:t>
            </w:r>
          </w:p>
        </w:tc>
      </w:tr>
      <w:tr>
        <w:trPr>
          <w:trHeight w:val="204"/>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incurred</w:t>
            </w: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45,574,384</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84,265,722</w:t>
            </w:r>
          </w:p>
        </w:tc>
      </w:tr>
      <w:tr>
        <w:trPr>
          <w:trHeight w:val="33"/>
        </w:trPr>
        <w:tc>
          <w:tcPr>
            <w:tcW w:w="80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2940" w:type="dxa"/>
            <w:vAlign w:val="bottom"/>
            <w:shd w:val="clear" w:color="auto" w:fill="CCEEFF"/>
          </w:tcPr>
          <w:p>
            <w:pPr>
              <w:spacing w:after="0"/>
              <w:rPr>
                <w:sz w:val="20"/>
                <w:szCs w:val="20"/>
                <w:color w:val="auto"/>
              </w:rPr>
            </w:pPr>
          </w:p>
        </w:tc>
        <w:tc>
          <w:tcPr>
            <w:tcW w:w="5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10"/>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Paid related to:</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8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year</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10,747,362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40,940,473</w:t>
            </w:r>
          </w:p>
        </w:tc>
      </w:tr>
      <w:tr>
        <w:trPr>
          <w:trHeight w:val="210"/>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Prior years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13,527,440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29,906,787</w:t>
            </w:r>
          </w:p>
        </w:tc>
      </w:tr>
      <w:tr>
        <w:trPr>
          <w:trHeight w:val="33"/>
        </w:trPr>
        <w:tc>
          <w:tcPr>
            <w:tcW w:w="80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paid</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24,274,802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70,847,260</w:t>
            </w:r>
          </w:p>
        </w:tc>
      </w:tr>
      <w:tr>
        <w:trPr>
          <w:trHeight w:val="236"/>
        </w:trPr>
        <w:tc>
          <w:tcPr>
            <w:tcW w:w="294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23"/>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balance at end of period</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128,605,835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107,306,253</w:t>
            </w:r>
          </w:p>
        </w:tc>
      </w:tr>
      <w:tr>
        <w:trPr>
          <w:trHeight w:val="210"/>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Add reinsurance recoverables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43,142,827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33,232,365</w:t>
            </w:r>
          </w:p>
        </w:tc>
      </w:tr>
      <w:tr>
        <w:trPr>
          <w:trHeight w:val="33"/>
        </w:trPr>
        <w:tc>
          <w:tcPr>
            <w:tcW w:w="80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1"/>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171,748,662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140,538,618</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Incurred losses and LAE are presented in the accompanying condensed consolidated statements of operations and comprehensive (loss) income net of reinsurance recoveries under reinsurance contracts of $14,655,978 and $7,059,344 for the three months ended March 31, 2026 and 2025, respectively.</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Prior year incurred loss and LAE development is based upon estimates by line of business and accident year. Prior year loss and LAE development incurred during the three months ended March 31, 2026 and 2025 was $1,264,066 favorable and $599,275 favorable, respectively. During the three months ended March 31, 2026 property claims overall developed better than expected driven primarily by reserve takedowns on several large fire claims from accident years 2024 and 2025 as well as a large subrogation recovery on a water damage claim from accident year 2023, resulting in favorable development. During the three months ended March 31, 2025, property claims overall developed better than expected, driven primarily by reserve takedowns on several large fire and water damage claims from accident years 2022 through 2024, resulting in favorable development.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Loss and LAE Reserves</w:t>
      </w:r>
    </w:p>
    <w:p>
      <w:pPr>
        <w:spacing w:after="0" w:line="2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reserving process for loss and LAE reserves provides for the Company’s best estimate at a particular point in time of the ultimate unpaid cost of all losses and LAE incurred, including settlement and administration of losses, and is based on facts and circumstances then known including losses that have occurred but that have not yet been reported. The process relies on standard actuarial reserving methodologies, judgments relative to estimates of ultimate claim severity and frequency, the length of time before losses will develop to their ultimate level (‘tail’ factors), and the likelihood of changes in the law or other external factors that are beyond the Company’s control. Several actuarial reserving methodologies are used to estimate required loss reserves. The process produces carried reserves set by management based upon the actuaries’ best estimate and is the cumulative combination of the best estimates made by line of business, accident year, and loss and LAE. The amount of loss and LAE reserves for individual reported claims (the “case reserve”) is determined by the claims department and changes over time as new information is gathered. Such information is critical to the review of appropriate IBNR reserves and includes a review of coverage applicability, comparative liability on the part of the insured, injury severity, property damage, replacement cost estimates, and any other information considered pertinent to estimating the exposure presented by the claim. The amounts of loss and LAE reserves for unreported claims and development on known claims (IBNR reserves) are determined using historical information aggregated by line of business as adjusted to current conditions. Since this process produces loss reserves set by management based upon the actuaries’ best estimate, there is no explicit or implicit provision for uncertainty in the carried loss reserves.</w:t>
      </w:r>
    </w:p>
    <w:p>
      <w:pPr>
        <w:spacing w:after="0" w:line="3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period’s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periods. Several methods are used, varying by line of business and accident year, in order to select the estimated period-end loss reserves. These methods include the following: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Paid Loss Development </w:t>
      </w:r>
      <w:r>
        <w:rPr>
          <w:rFonts w:ascii="Times New Roman" w:cs="Times New Roman" w:eastAsia="Times New Roman" w:hAnsi="Times New Roman"/>
          <w:sz w:val="16"/>
          <w:szCs w:val="16"/>
          <w:color w:val="auto"/>
        </w:rPr>
        <w:t>– historical patterns of paid loss development are used to project future paid loss emergence in order to estimate required reserves.</w:t>
      </w:r>
    </w:p>
    <w:p>
      <w:pPr>
        <w:spacing w:after="0" w:line="23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i w:val="1"/>
          <w:iCs w:val="1"/>
          <w:color w:val="auto"/>
        </w:rPr>
        <w:t xml:space="preserve">Incurred Loss Development </w:t>
      </w:r>
      <w:r>
        <w:rPr>
          <w:rFonts w:ascii="Times New Roman" w:cs="Times New Roman" w:eastAsia="Times New Roman" w:hAnsi="Times New Roman"/>
          <w:sz w:val="16"/>
          <w:szCs w:val="16"/>
          <w:color w:val="auto"/>
        </w:rPr>
        <w:t>– historical patterns of incurred loss development, reflecting both paid losses and changes in case reserves, are used to project future incurred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loss emergence in order to estimate required reserves.</w:t>
      </w:r>
    </w:p>
    <w:p>
      <w:pPr>
        <w:spacing w:after="0" w:line="1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Paid Bornhuetter-Ferguson (“BF”) </w:t>
      </w:r>
      <w:r>
        <w:rPr>
          <w:rFonts w:ascii="Times New Roman" w:cs="Times New Roman" w:eastAsia="Times New Roman" w:hAnsi="Times New Roman"/>
          <w:sz w:val="16"/>
          <w:szCs w:val="16"/>
          <w:color w:val="auto"/>
        </w:rPr>
        <w:t>– an estimated loss ratio for a particular accident year is determined, and is weighted against the portion of the accident year claims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Incurred Bornhuetter-Ferguson (“BF”) </w:t>
      </w:r>
      <w:r>
        <w:rPr>
          <w:rFonts w:ascii="Times New Roman" w:cs="Times New Roman" w:eastAsia="Times New Roman" w:hAnsi="Times New Roman"/>
          <w:sz w:val="16"/>
          <w:szCs w:val="16"/>
          <w:color w:val="auto"/>
        </w:rPr>
        <w:t>- an estimated loss ratio for a particular accident year is determined, and is weighted against the portion of the accident year claims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Incremental Claim-Based Methods </w:t>
      </w:r>
      <w:r>
        <w:rPr>
          <w:rFonts w:ascii="Times New Roman" w:cs="Times New Roman" w:eastAsia="Times New Roman" w:hAnsi="Times New Roman"/>
          <w:sz w:val="16"/>
          <w:szCs w:val="16"/>
          <w:color w:val="auto"/>
        </w:rPr>
        <w:t>– historical patterns of incremental incurred losses and paid LAE during various stages of development are reviewed and assumptions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made regarding average loss and LAE development applied to remaining claims inventory. Such methods more properly reflect changes in the speed of claims closure and the relative adequacy of case reserve levels at various stages of development. These methods may provide a more accurate estimate of IBNR for lines of business with relatively few remaining open claims but for which significant recent settlement activity has occurred.</w:t>
      </w:r>
    </w:p>
    <w:p>
      <w:pPr>
        <w:spacing w:after="0" w:line="17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Frequency / Severity Based Methods </w:t>
      </w:r>
      <w:r>
        <w:rPr>
          <w:rFonts w:ascii="Times New Roman" w:cs="Times New Roman" w:eastAsia="Times New Roman" w:hAnsi="Times New Roman"/>
          <w:sz w:val="16"/>
          <w:szCs w:val="16"/>
          <w:color w:val="auto"/>
        </w:rPr>
        <w:t>– historical measurements of claim frequency and average paid claim size (severity) are reviewed for more mature accident years where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 majority of claims have been reported and/or closed. These historical averages are trended forward to more recent periods in order to estimate ultimate losses for newer accident years that are not yet fully developed. These methods are useful for lines of business with slow and/or volatile loss development patterns, such as liability lines where information pertaining to individual cases may not be completely known for many years. The claim frequency and severity information for older periods can then be used as reasonable measures for developing a range of estimates for more recent immature periods.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Management’s best estimate of required reserves is generally based on an average of the methods above, with appropriate weighting of methods based on the line of business and accident year being projected. In some cases, additional methods or historical data from industry sources are employed to supplement the projections derived from the methods listed above.</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Three key assumptions that materially affect the estimate of loss reserves are the loss ratio estimate for the current accident year used in the BF methods, the loss development factor selections used in the loss development methods, and the loss severity assumptions used in the frequency / severity method described above. The loss ratio estimates used in the BF methods are selected after reviewing historical accident year loss ratios adjusted for rate changes, trend, and mix of business. The severity assumptions used in the frequency / severity method are determined by reviewing historical average claim severity for older more mature accident periods, trended forward to less mature accident periods.</w:t>
      </w:r>
    </w:p>
    <w:p>
      <w:pPr>
        <w:spacing w:after="0" w:line="18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Company reviews the carried reserves levels on a regular basis as additional information becomes available and makes adjustments in the periods in which such adjustments are determined to be necessary. The Company is not aware of any claim trends that have emerged or that would cause future adverse development that have not already been contemplated in setting current carried reserves levels.</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March 31, 2023 and prior is limited, although there remains the possibility of adverse development on reported claims (“case development” IBNR). In certain rare circumstances states have retroactively revised a statute of limitations. The Company is not aware of any such effort that would have a material impact on the Company’s results.</w:t>
      </w:r>
    </w:p>
    <w:p>
      <w:pPr>
        <w:spacing w:after="0" w:line="193"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The following is information about incurred and paid claims development as of March 31, 2026, net of reinsurance, as well as the cumulative reported claims by accident year and total IBNR reserves as of March 31, 2026 included in the net incurred loss and allocated expense amounts. The historical information regarding incurred and paid claims development for the years ended December 31, 2017 to December 31, 2025 is presented as supplementary unaudited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 Lines of Business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reported claims data)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gridSpan w:val="2"/>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0"/>
        </w:trPr>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60" w:type="dxa"/>
            <w:vAlign w:val="bottom"/>
            <w:gridSpan w:val="17"/>
          </w:tcPr>
          <w:p>
            <w:pPr>
              <w:ind w:left="140"/>
              <w:spacing w:after="0"/>
              <w:rPr>
                <w:sz w:val="20"/>
                <w:szCs w:val="20"/>
                <w:color w:val="auto"/>
              </w:rPr>
            </w:pPr>
            <w:r>
              <w:rPr>
                <w:rFonts w:ascii="Times New Roman" w:cs="Times New Roman" w:eastAsia="Times New Roman" w:hAnsi="Times New Roman"/>
                <w:sz w:val="14"/>
                <w:szCs w:val="14"/>
                <w:b w:val="1"/>
                <w:bCs w:val="1"/>
                <w:color w:val="auto"/>
              </w:rPr>
              <w:t>Incurred Loss and Allocated Loss Adjustment Expenses, Net of Reinsurance</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23"/>
        </w:trPr>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Cumulative</w:t>
            </w: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8"/>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Claims by</w:t>
            </w:r>
          </w:p>
        </w:tc>
        <w:tc>
          <w:tcPr>
            <w:tcW w:w="0" w:type="dxa"/>
            <w:vAlign w:val="bottom"/>
          </w:tcPr>
          <w:p>
            <w:pPr>
              <w:spacing w:after="0"/>
              <w:rPr>
                <w:sz w:val="1"/>
                <w:szCs w:val="1"/>
                <w:color w:val="auto"/>
              </w:rPr>
            </w:pPr>
          </w:p>
        </w:tc>
      </w:tr>
      <w:tr>
        <w:trPr>
          <w:trHeight w:val="136"/>
        </w:trPr>
        <w:tc>
          <w:tcPr>
            <w:tcW w:w="860" w:type="dxa"/>
            <w:vAlign w:val="bottom"/>
            <w:gridSpan w:val="2"/>
            <w:vMerge w:val="restart"/>
          </w:tcPr>
          <w:p>
            <w:pPr>
              <w:jc w:val="center"/>
              <w:ind w:right="80"/>
              <w:spacing w:after="0" w:line="140" w:lineRule="exact"/>
              <w:rPr>
                <w:sz w:val="20"/>
                <w:szCs w:val="20"/>
                <w:color w:val="auto"/>
              </w:rPr>
            </w:pPr>
            <w:r>
              <w:rPr>
                <w:rFonts w:ascii="Times New Roman" w:cs="Times New Roman" w:eastAsia="Times New Roman" w:hAnsi="Times New Roman"/>
                <w:sz w:val="14"/>
                <w:szCs w:val="14"/>
                <w:b w:val="1"/>
                <w:bCs w:val="1"/>
                <w:color w:val="auto"/>
              </w:rPr>
              <w:t>Accident</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0" w:type="dxa"/>
            <w:vAlign w:val="bottom"/>
            <w:gridSpan w:val="8"/>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center"/>
              <w:ind w:right="48"/>
              <w:spacing w:after="0" w:line="140"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rPr>
              <w:t>Accident</w:t>
            </w:r>
          </w:p>
        </w:tc>
        <w:tc>
          <w:tcPr>
            <w:tcW w:w="0" w:type="dxa"/>
            <w:vAlign w:val="bottom"/>
          </w:tcPr>
          <w:p>
            <w:pPr>
              <w:spacing w:after="0"/>
              <w:rPr>
                <w:sz w:val="1"/>
                <w:szCs w:val="1"/>
                <w:color w:val="auto"/>
              </w:rPr>
            </w:pPr>
          </w:p>
        </w:tc>
      </w:tr>
      <w:tr>
        <w:trPr>
          <w:trHeight w:val="23"/>
        </w:trPr>
        <w:tc>
          <w:tcPr>
            <w:tcW w:w="860" w:type="dxa"/>
            <w:vAlign w:val="bottom"/>
            <w:gridSpan w:val="2"/>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60" w:type="dxa"/>
            <w:vAlign w:val="bottom"/>
          </w:tcPr>
          <w:p>
            <w:pPr>
              <w:spacing w:after="0"/>
              <w:rPr>
                <w:sz w:val="16"/>
                <w:szCs w:val="16"/>
                <w:color w:val="auto"/>
              </w:rPr>
            </w:pPr>
          </w:p>
        </w:tc>
        <w:tc>
          <w:tcPr>
            <w:tcW w:w="5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IBNR</w:t>
            </w:r>
          </w:p>
        </w:tc>
        <w:tc>
          <w:tcPr>
            <w:tcW w:w="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23"/>
        </w:trPr>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(Unaudited 2017 - 2025)</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31,605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32,169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35,304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36,160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36,532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36,502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36,819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37,268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37,359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37,350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3,401</w:t>
            </w:r>
          </w:p>
        </w:tc>
        <w:tc>
          <w:tcPr>
            <w:tcW w:w="0" w:type="dxa"/>
            <w:vAlign w:val="bottom"/>
          </w:tcPr>
          <w:p>
            <w:pPr>
              <w:spacing w:after="0"/>
              <w:rPr>
                <w:sz w:val="1"/>
                <w:szCs w:val="1"/>
                <w:color w:val="auto"/>
              </w:rPr>
            </w:pPr>
          </w:p>
        </w:tc>
      </w:tr>
      <w:tr>
        <w:trPr>
          <w:trHeight w:val="193"/>
        </w:trPr>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54,455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56,351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61,686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4,238</w:t>
            </w:r>
          </w:p>
        </w:tc>
        <w:tc>
          <w:tcPr>
            <w:tcW w:w="0" w:type="dxa"/>
            <w:vAlign w:val="bottom"/>
          </w:tcPr>
          <w:p>
            <w:pPr>
              <w:spacing w:after="0"/>
              <w:rPr>
                <w:sz w:val="1"/>
                <w:szCs w:val="1"/>
                <w:color w:val="auto"/>
              </w:rPr>
            </w:pPr>
          </w:p>
        </w:tc>
      </w:tr>
      <w:tr>
        <w:trPr>
          <w:trHeight w:val="23"/>
        </w:trPr>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75,092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72,368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71,544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71,964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73,310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74,363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76,337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76,506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4,509</w:t>
            </w:r>
          </w:p>
        </w:tc>
        <w:tc>
          <w:tcPr>
            <w:tcW w:w="0" w:type="dxa"/>
            <w:vAlign w:val="bottom"/>
          </w:tcPr>
          <w:p>
            <w:pPr>
              <w:spacing w:after="0"/>
              <w:rPr>
                <w:sz w:val="1"/>
                <w:szCs w:val="1"/>
                <w:color w:val="auto"/>
              </w:rPr>
            </w:pPr>
          </w:p>
        </w:tc>
      </w:tr>
      <w:tr>
        <w:trPr>
          <w:trHeight w:val="193"/>
        </w:trPr>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5,896</w:t>
            </w:r>
          </w:p>
        </w:tc>
        <w:tc>
          <w:tcPr>
            <w:tcW w:w="0" w:type="dxa"/>
            <w:vAlign w:val="bottom"/>
          </w:tcPr>
          <w:p>
            <w:pPr>
              <w:spacing w:after="0"/>
              <w:rPr>
                <w:sz w:val="1"/>
                <w:szCs w:val="1"/>
                <w:color w:val="auto"/>
              </w:rPr>
            </w:pPr>
          </w:p>
        </w:tc>
      </w:tr>
      <w:tr>
        <w:trPr>
          <w:trHeight w:val="23"/>
        </w:trPr>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96,425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96,673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96,134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96,771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98,411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98,485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5,838</w:t>
            </w:r>
          </w:p>
        </w:tc>
        <w:tc>
          <w:tcPr>
            <w:tcW w:w="0" w:type="dxa"/>
            <w:vAlign w:val="bottom"/>
          </w:tcPr>
          <w:p>
            <w:pPr>
              <w:spacing w:after="0"/>
              <w:rPr>
                <w:sz w:val="1"/>
                <w:szCs w:val="1"/>
                <w:color w:val="auto"/>
              </w:rPr>
            </w:pPr>
          </w:p>
        </w:tc>
      </w:tr>
      <w:tr>
        <w:trPr>
          <w:trHeight w:val="193"/>
        </w:trPr>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78,078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4,721</w:t>
            </w:r>
          </w:p>
        </w:tc>
        <w:tc>
          <w:tcPr>
            <w:tcW w:w="0" w:type="dxa"/>
            <w:vAlign w:val="bottom"/>
          </w:tcPr>
          <w:p>
            <w:pPr>
              <w:spacing w:after="0"/>
              <w:rPr>
                <w:sz w:val="1"/>
                <w:szCs w:val="1"/>
                <w:color w:val="auto"/>
              </w:rPr>
            </w:pPr>
          </w:p>
        </w:tc>
      </w:tr>
      <w:tr>
        <w:trPr>
          <w:trHeight w:val="23"/>
        </w:trPr>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78,978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72,025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70,128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69,949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w:t>
            </w:r>
          </w:p>
        </w:tc>
        <w:tc>
          <w:tcPr>
            <w:tcW w:w="0" w:type="dxa"/>
            <w:vAlign w:val="bottom"/>
          </w:tcPr>
          <w:p>
            <w:pPr>
              <w:spacing w:after="0"/>
              <w:rPr>
                <w:sz w:val="1"/>
                <w:szCs w:val="1"/>
                <w:color w:val="auto"/>
              </w:rPr>
            </w:pPr>
          </w:p>
        </w:tc>
      </w:tr>
      <w:tr>
        <w:trPr>
          <w:trHeight w:val="193"/>
        </w:trPr>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57,860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54,280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3,143</w:t>
            </w:r>
          </w:p>
        </w:tc>
        <w:tc>
          <w:tcPr>
            <w:tcW w:w="0" w:type="dxa"/>
            <w:vAlign w:val="bottom"/>
          </w:tcPr>
          <w:p>
            <w:pPr>
              <w:spacing w:after="0"/>
              <w:rPr>
                <w:sz w:val="1"/>
                <w:szCs w:val="1"/>
                <w:color w:val="auto"/>
              </w:rPr>
            </w:pPr>
          </w:p>
        </w:tc>
      </w:tr>
      <w:tr>
        <w:trPr>
          <w:trHeight w:val="23"/>
        </w:trPr>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77,556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76,590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w:t>
            </w:r>
          </w:p>
        </w:tc>
        <w:tc>
          <w:tcPr>
            <w:tcW w:w="0" w:type="dxa"/>
            <w:vAlign w:val="bottom"/>
          </w:tcPr>
          <w:p>
            <w:pPr>
              <w:spacing w:after="0"/>
              <w:rPr>
                <w:sz w:val="1"/>
                <w:szCs w:val="1"/>
                <w:color w:val="auto"/>
              </w:rPr>
            </w:pPr>
          </w:p>
        </w:tc>
      </w:tr>
      <w:tr>
        <w:trPr>
          <w:trHeight w:val="193"/>
        </w:trPr>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0" w:type="dxa"/>
            <w:vAlign w:val="bottom"/>
          </w:tcPr>
          <w:p>
            <w:pPr>
              <w:spacing w:after="0"/>
              <w:rPr>
                <w:sz w:val="1"/>
                <w:szCs w:val="1"/>
                <w:color w:val="auto"/>
              </w:rPr>
            </w:pPr>
          </w:p>
        </w:tc>
      </w:tr>
      <w:tr>
        <w:trPr>
          <w:trHeight w:val="23"/>
        </w:trPr>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661,790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 Lines of Business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40" w:type="dxa"/>
            <w:vAlign w:val="bottom"/>
            <w:gridSpan w:val="11"/>
          </w:tcPr>
          <w:p>
            <w:pPr>
              <w:jc w:val="right"/>
              <w:spacing w:after="0"/>
              <w:rPr>
                <w:sz w:val="20"/>
                <w:szCs w:val="20"/>
                <w:color w:val="auto"/>
              </w:rPr>
            </w:pPr>
            <w:r>
              <w:rPr>
                <w:rFonts w:ascii="Times New Roman" w:cs="Times New Roman" w:eastAsia="Times New Roman" w:hAnsi="Times New Roman"/>
                <w:sz w:val="14"/>
                <w:szCs w:val="14"/>
                <w:b w:val="1"/>
                <w:bCs w:val="1"/>
                <w:color w:val="auto"/>
              </w:rPr>
              <w:t>Cumulative Paid Loss and Allocated Loss Adjustment Expenses, Net of Reinsurance</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center"/>
              <w:ind w:right="128"/>
              <w:spacing w:after="0" w:line="158" w:lineRule="exact"/>
              <w:rPr>
                <w:sz w:val="20"/>
                <w:szCs w:val="20"/>
                <w:color w:val="auto"/>
              </w:rPr>
            </w:pPr>
            <w:r>
              <w:rPr>
                <w:rFonts w:ascii="Times New Roman" w:cs="Times New Roman" w:eastAsia="Times New Roman" w:hAnsi="Times New Roman"/>
                <w:sz w:val="14"/>
                <w:szCs w:val="14"/>
                <w:b w:val="1"/>
                <w:bCs w:val="1"/>
                <w:color w:val="auto"/>
              </w:rPr>
              <w:t>Three</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40" w:type="dxa"/>
            <w:vAlign w:val="bottom"/>
            <w:gridSpan w:val="5"/>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0" w:type="dxa"/>
            <w:vAlign w:val="bottom"/>
          </w:tcPr>
          <w:p>
            <w:pPr>
              <w:spacing w:after="0"/>
              <w:rPr>
                <w:sz w:val="1"/>
                <w:szCs w:val="1"/>
                <w:color w:val="auto"/>
              </w:rPr>
            </w:pPr>
          </w:p>
        </w:tc>
      </w:tr>
      <w:tr>
        <w:trPr>
          <w:trHeight w:val="123"/>
        </w:trPr>
        <w:tc>
          <w:tcPr>
            <w:tcW w:w="960" w:type="dxa"/>
            <w:vAlign w:val="bottom"/>
            <w:gridSpan w:val="2"/>
            <w:vMerge w:val="restart"/>
          </w:tcPr>
          <w:p>
            <w:pPr>
              <w:jc w:val="center"/>
              <w:ind w:right="80"/>
              <w:spacing w:after="0" w:line="140" w:lineRule="exact"/>
              <w:rPr>
                <w:sz w:val="20"/>
                <w:szCs w:val="20"/>
                <w:color w:val="auto"/>
              </w:rPr>
            </w:pPr>
            <w:r>
              <w:rPr>
                <w:rFonts w:ascii="Times New Roman" w:cs="Times New Roman" w:eastAsia="Times New Roman" w:hAnsi="Times New Roman"/>
                <w:sz w:val="14"/>
                <w:szCs w:val="14"/>
                <w:b w:val="1"/>
                <w:bCs w:val="1"/>
                <w:color w:val="auto"/>
              </w:rPr>
              <w:t>Accident</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40" w:type="dxa"/>
            <w:vAlign w:val="bottom"/>
            <w:gridSpan w:val="5"/>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vMerge w:val="restart"/>
          </w:tcPr>
          <w:p>
            <w:pPr>
              <w:jc w:val="center"/>
              <w:ind w:right="128"/>
              <w:spacing w:after="0" w:line="140"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23"/>
        </w:trPr>
        <w:tc>
          <w:tcPr>
            <w:tcW w:w="960" w:type="dxa"/>
            <w:vAlign w:val="bottom"/>
            <w:gridSpan w:val="2"/>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00" w:type="dxa"/>
            <w:vAlign w:val="bottom"/>
          </w:tcPr>
          <w:p>
            <w:pPr>
              <w:spacing w:after="0"/>
              <w:rPr>
                <w:sz w:val="17"/>
                <w:szCs w:val="17"/>
                <w:color w:val="auto"/>
              </w:rPr>
            </w:pPr>
          </w:p>
        </w:tc>
        <w:tc>
          <w:tcPr>
            <w:tcW w:w="7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Pr>
          <w:p>
            <w:pPr>
              <w:spacing w:after="0"/>
              <w:rPr>
                <w:sz w:val="17"/>
                <w:szCs w:val="17"/>
                <w:color w:val="auto"/>
              </w:rPr>
            </w:pPr>
          </w:p>
        </w:tc>
        <w:tc>
          <w:tcPr>
            <w:tcW w:w="7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7"/>
                <w:szCs w:val="17"/>
                <w:color w:val="auto"/>
              </w:rPr>
            </w:pPr>
          </w:p>
        </w:tc>
        <w:tc>
          <w:tcPr>
            <w:tcW w:w="7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7"/>
                <w:szCs w:val="17"/>
                <w:color w:val="auto"/>
              </w:rPr>
            </w:pPr>
          </w:p>
        </w:tc>
        <w:tc>
          <w:tcPr>
            <w:tcW w:w="7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7"/>
                <w:szCs w:val="17"/>
                <w:color w:val="auto"/>
              </w:rPr>
            </w:pPr>
          </w:p>
        </w:tc>
        <w:tc>
          <w:tcPr>
            <w:tcW w:w="7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7"/>
                <w:szCs w:val="17"/>
                <w:color w:val="auto"/>
              </w:rPr>
            </w:pPr>
          </w:p>
        </w:tc>
        <w:tc>
          <w:tcPr>
            <w:tcW w:w="6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7"/>
                <w:szCs w:val="17"/>
                <w:color w:val="auto"/>
              </w:rPr>
            </w:pPr>
          </w:p>
        </w:tc>
        <w:tc>
          <w:tcPr>
            <w:tcW w:w="7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7"/>
                <w:szCs w:val="17"/>
                <w:color w:val="auto"/>
              </w:rPr>
            </w:pPr>
          </w:p>
        </w:tc>
        <w:tc>
          <w:tcPr>
            <w:tcW w:w="7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7"/>
                <w:szCs w:val="17"/>
                <w:color w:val="auto"/>
              </w:rPr>
            </w:pPr>
          </w:p>
        </w:tc>
        <w:tc>
          <w:tcPr>
            <w:tcW w:w="6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3"/>
        </w:trPr>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0" w:type="dxa"/>
            <w:vAlign w:val="bottom"/>
            <w:gridSpan w:val="4"/>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(Unaudited 2017 - 2025)</w:t>
            </w: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3"/>
        </w:trPr>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16,704</w:t>
            </w:r>
          </w:p>
        </w:tc>
        <w:tc>
          <w:tcPr>
            <w:tcW w:w="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24,820</w:t>
            </w:r>
          </w:p>
        </w:tc>
        <w:tc>
          <w:tcPr>
            <w:tcW w:w="2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28,693</w:t>
            </w:r>
          </w:p>
        </w:tc>
        <w:tc>
          <w:tcPr>
            <w:tcW w:w="2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31,393</w:t>
            </w:r>
          </w:p>
        </w:tc>
        <w:tc>
          <w:tcPr>
            <w:tcW w:w="2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32,529</w:t>
            </w:r>
          </w:p>
        </w:tc>
        <w:tc>
          <w:tcPr>
            <w:tcW w:w="32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33,522</w:t>
            </w:r>
          </w:p>
        </w:tc>
        <w:tc>
          <w:tcPr>
            <w:tcW w:w="2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34,683</w:t>
            </w:r>
          </w:p>
        </w:tc>
        <w:tc>
          <w:tcPr>
            <w:tcW w:w="2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35,046</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35,336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35,352</w:t>
            </w:r>
          </w:p>
        </w:tc>
        <w:tc>
          <w:tcPr>
            <w:tcW w:w="0" w:type="dxa"/>
            <w:vAlign w:val="bottom"/>
          </w:tcPr>
          <w:p>
            <w:pPr>
              <w:spacing w:after="0"/>
              <w:rPr>
                <w:sz w:val="1"/>
                <w:szCs w:val="1"/>
                <w:color w:val="auto"/>
              </w:rPr>
            </w:pPr>
          </w:p>
        </w:tc>
      </w:tr>
      <w:tr>
        <w:trPr>
          <w:trHeight w:val="193"/>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32,383</w:t>
            </w:r>
          </w:p>
        </w:tc>
        <w:tc>
          <w:tcPr>
            <w:tcW w:w="26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44,516</w:t>
            </w:r>
          </w:p>
        </w:tc>
        <w:tc>
          <w:tcPr>
            <w:tcW w:w="26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50,553</w:t>
            </w:r>
          </w:p>
        </w:tc>
        <w:tc>
          <w:tcPr>
            <w:tcW w:w="26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52,025</w:t>
            </w:r>
          </w:p>
        </w:tc>
        <w:tc>
          <w:tcPr>
            <w:tcW w:w="3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54,424</w:t>
            </w:r>
          </w:p>
        </w:tc>
        <w:tc>
          <w:tcPr>
            <w:tcW w:w="280" w:type="dxa"/>
            <w:vAlign w:val="bottom"/>
          </w:tcPr>
          <w:p>
            <w:pPr>
              <w:spacing w:after="0"/>
              <w:rPr>
                <w:sz w:val="16"/>
                <w:szCs w:val="16"/>
                <w:color w:val="auto"/>
              </w:rPr>
            </w:pPr>
          </w:p>
        </w:tc>
        <w:tc>
          <w:tcPr>
            <w:tcW w:w="7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56,199</w:t>
            </w:r>
          </w:p>
        </w:tc>
        <w:tc>
          <w:tcPr>
            <w:tcW w:w="26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57,185</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58,611</w:t>
            </w:r>
          </w:p>
        </w:tc>
        <w:tc>
          <w:tcPr>
            <w:tcW w:w="0" w:type="dxa"/>
            <w:vAlign w:val="bottom"/>
          </w:tcPr>
          <w:p>
            <w:pPr>
              <w:spacing w:after="0"/>
              <w:rPr>
                <w:sz w:val="1"/>
                <w:szCs w:val="1"/>
                <w:color w:val="auto"/>
              </w:rPr>
            </w:pPr>
          </w:p>
        </w:tc>
      </w:tr>
      <w:tr>
        <w:trPr>
          <w:trHeight w:val="23"/>
        </w:trPr>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2019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40,933</w:t>
            </w:r>
          </w:p>
        </w:tc>
        <w:tc>
          <w:tcPr>
            <w:tcW w:w="2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54,897</w:t>
            </w: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58,055</w:t>
            </w:r>
          </w:p>
        </w:tc>
        <w:tc>
          <w:tcPr>
            <w:tcW w:w="3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60,374</w:t>
            </w:r>
          </w:p>
        </w:tc>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63,932</w:t>
            </w:r>
          </w:p>
        </w:tc>
        <w:tc>
          <w:tcPr>
            <w:tcW w:w="2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66,109</w:t>
            </w: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68,648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69,614</w:t>
            </w:r>
          </w:p>
        </w:tc>
        <w:tc>
          <w:tcPr>
            <w:tcW w:w="0" w:type="dxa"/>
            <w:vAlign w:val="bottom"/>
          </w:tcPr>
          <w:p>
            <w:pPr>
              <w:spacing w:after="0"/>
              <w:rPr>
                <w:sz w:val="1"/>
                <w:szCs w:val="1"/>
                <w:color w:val="auto"/>
              </w:rPr>
            </w:pPr>
          </w:p>
        </w:tc>
      </w:tr>
      <w:tr>
        <w:trPr>
          <w:trHeight w:val="193"/>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39,045</w:t>
            </w:r>
          </w:p>
        </w:tc>
        <w:tc>
          <w:tcPr>
            <w:tcW w:w="26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50,719</w:t>
            </w:r>
          </w:p>
        </w:tc>
        <w:tc>
          <w:tcPr>
            <w:tcW w:w="3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53,432</w:t>
            </w:r>
          </w:p>
        </w:tc>
        <w:tc>
          <w:tcPr>
            <w:tcW w:w="280" w:type="dxa"/>
            <w:vAlign w:val="bottom"/>
          </w:tcPr>
          <w:p>
            <w:pPr>
              <w:spacing w:after="0"/>
              <w:rPr>
                <w:sz w:val="16"/>
                <w:szCs w:val="16"/>
                <w:color w:val="auto"/>
              </w:rPr>
            </w:pPr>
          </w:p>
        </w:tc>
        <w:tc>
          <w:tcPr>
            <w:tcW w:w="7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56,523</w:t>
            </w:r>
          </w:p>
        </w:tc>
        <w:tc>
          <w:tcPr>
            <w:tcW w:w="26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59,220</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60,987</w:t>
            </w:r>
          </w:p>
        </w:tc>
        <w:tc>
          <w:tcPr>
            <w:tcW w:w="0" w:type="dxa"/>
            <w:vAlign w:val="bottom"/>
          </w:tcPr>
          <w:p>
            <w:pPr>
              <w:spacing w:after="0"/>
              <w:rPr>
                <w:sz w:val="1"/>
                <w:szCs w:val="1"/>
                <w:color w:val="auto"/>
              </w:rPr>
            </w:pPr>
          </w:p>
        </w:tc>
      </w:tr>
      <w:tr>
        <w:trPr>
          <w:trHeight w:val="23"/>
        </w:trPr>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56,282</w:t>
            </w:r>
          </w:p>
        </w:tc>
        <w:tc>
          <w:tcPr>
            <w:tcW w:w="3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77,756</w:t>
            </w:r>
          </w:p>
        </w:tc>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82,317</w:t>
            </w:r>
          </w:p>
        </w:tc>
        <w:tc>
          <w:tcPr>
            <w:tcW w:w="2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85,314</w:t>
            </w: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90,865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92,199</w:t>
            </w:r>
          </w:p>
        </w:tc>
        <w:tc>
          <w:tcPr>
            <w:tcW w:w="0" w:type="dxa"/>
            <w:vAlign w:val="bottom"/>
          </w:tcPr>
          <w:p>
            <w:pPr>
              <w:spacing w:after="0"/>
              <w:rPr>
                <w:sz w:val="1"/>
                <w:szCs w:val="1"/>
                <w:color w:val="auto"/>
              </w:rPr>
            </w:pPr>
          </w:p>
        </w:tc>
      </w:tr>
      <w:tr>
        <w:trPr>
          <w:trHeight w:val="193"/>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45,856</w:t>
            </w:r>
          </w:p>
        </w:tc>
        <w:tc>
          <w:tcPr>
            <w:tcW w:w="280" w:type="dxa"/>
            <w:vAlign w:val="bottom"/>
          </w:tcPr>
          <w:p>
            <w:pPr>
              <w:spacing w:after="0"/>
              <w:rPr>
                <w:sz w:val="16"/>
                <w:szCs w:val="16"/>
                <w:color w:val="auto"/>
              </w:rPr>
            </w:pPr>
          </w:p>
        </w:tc>
        <w:tc>
          <w:tcPr>
            <w:tcW w:w="7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65,732</w:t>
            </w:r>
          </w:p>
        </w:tc>
        <w:tc>
          <w:tcPr>
            <w:tcW w:w="26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68,170</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71,358</w:t>
            </w:r>
          </w:p>
        </w:tc>
        <w:tc>
          <w:tcPr>
            <w:tcW w:w="0" w:type="dxa"/>
            <w:vAlign w:val="bottom"/>
          </w:tcPr>
          <w:p>
            <w:pPr>
              <w:spacing w:after="0"/>
              <w:rPr>
                <w:sz w:val="1"/>
                <w:szCs w:val="1"/>
                <w:color w:val="auto"/>
              </w:rPr>
            </w:pPr>
          </w:p>
        </w:tc>
      </w:tr>
      <w:tr>
        <w:trPr>
          <w:trHeight w:val="23"/>
        </w:trPr>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46,280</w:t>
            </w:r>
          </w:p>
        </w:tc>
        <w:tc>
          <w:tcPr>
            <w:tcW w:w="2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56,952</w:t>
            </w: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59,571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59,783</w:t>
            </w:r>
          </w:p>
        </w:tc>
        <w:tc>
          <w:tcPr>
            <w:tcW w:w="0" w:type="dxa"/>
            <w:vAlign w:val="bottom"/>
          </w:tcPr>
          <w:p>
            <w:pPr>
              <w:spacing w:after="0"/>
              <w:rPr>
                <w:sz w:val="1"/>
                <w:szCs w:val="1"/>
                <w:color w:val="auto"/>
              </w:rPr>
            </w:pPr>
          </w:p>
        </w:tc>
      </w:tr>
      <w:tr>
        <w:trPr>
          <w:trHeight w:val="193"/>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29,013</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40,857</w:t>
            </w:r>
          </w:p>
        </w:tc>
        <w:tc>
          <w:tcPr>
            <w:tcW w:w="0" w:type="dxa"/>
            <w:vAlign w:val="bottom"/>
          </w:tcPr>
          <w:p>
            <w:pPr>
              <w:spacing w:after="0"/>
              <w:rPr>
                <w:sz w:val="1"/>
                <w:szCs w:val="1"/>
                <w:color w:val="auto"/>
              </w:rPr>
            </w:pPr>
          </w:p>
        </w:tc>
      </w:tr>
      <w:tr>
        <w:trPr>
          <w:trHeight w:val="23"/>
        </w:trPr>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36,572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44,280</w:t>
            </w:r>
          </w:p>
        </w:tc>
        <w:tc>
          <w:tcPr>
            <w:tcW w:w="0" w:type="dxa"/>
            <w:vAlign w:val="bottom"/>
          </w:tcPr>
          <w:p>
            <w:pPr>
              <w:spacing w:after="0"/>
              <w:rPr>
                <w:sz w:val="1"/>
                <w:szCs w:val="1"/>
                <w:color w:val="auto"/>
              </w:rPr>
            </w:pPr>
          </w:p>
        </w:tc>
      </w:tr>
      <w:tr>
        <w:trPr>
          <w:trHeight w:val="193"/>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10,171</w:t>
            </w:r>
          </w:p>
        </w:tc>
        <w:tc>
          <w:tcPr>
            <w:tcW w:w="0" w:type="dxa"/>
            <w:vAlign w:val="bottom"/>
          </w:tcPr>
          <w:p>
            <w:pPr>
              <w:spacing w:after="0"/>
              <w:rPr>
                <w:sz w:val="1"/>
                <w:szCs w:val="1"/>
                <w:color w:val="auto"/>
              </w:rPr>
            </w:pPr>
          </w:p>
        </w:tc>
      </w:tr>
      <w:tr>
        <w:trPr>
          <w:trHeight w:val="23"/>
        </w:trPr>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543,212</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5920" w:type="dxa"/>
            <w:vAlign w:val="bottom"/>
            <w:tcBorders>
              <w:bottom w:val="single" w:sz="8" w:color="CCEEFF"/>
            </w:tcBorders>
            <w:gridSpan w:val="1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Net liability for unpaid loss and allocated loss adjustment expenses for the accident years presented</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118,579</w:t>
            </w:r>
          </w:p>
        </w:tc>
        <w:tc>
          <w:tcPr>
            <w:tcW w:w="0" w:type="dxa"/>
            <w:vAlign w:val="bottom"/>
          </w:tcPr>
          <w:p>
            <w:pPr>
              <w:spacing w:after="0"/>
              <w:rPr>
                <w:sz w:val="1"/>
                <w:szCs w:val="1"/>
                <w:color w:val="auto"/>
              </w:rPr>
            </w:pPr>
          </w:p>
        </w:tc>
      </w:tr>
      <w:tr>
        <w:trPr>
          <w:trHeight w:val="193"/>
        </w:trPr>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60" w:type="dxa"/>
            <w:vAlign w:val="bottom"/>
            <w:gridSpan w:val="8"/>
          </w:tcPr>
          <w:p>
            <w:pPr>
              <w:jc w:val="right"/>
              <w:ind w:right="120"/>
              <w:spacing w:after="0"/>
              <w:rPr>
                <w:sz w:val="20"/>
                <w:szCs w:val="20"/>
                <w:color w:val="auto"/>
              </w:rPr>
            </w:pPr>
            <w:r>
              <w:rPr>
                <w:rFonts w:ascii="Times New Roman" w:cs="Times New Roman" w:eastAsia="Times New Roman" w:hAnsi="Times New Roman"/>
                <w:sz w:val="14"/>
                <w:szCs w:val="14"/>
                <w:color w:val="auto"/>
              </w:rPr>
              <w:t>All outstanding liabilities before 2017, net of reinsurance</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1,716</w:t>
            </w:r>
          </w:p>
        </w:tc>
        <w:tc>
          <w:tcPr>
            <w:tcW w:w="0" w:type="dxa"/>
            <w:vAlign w:val="bottom"/>
          </w:tcPr>
          <w:p>
            <w:pPr>
              <w:spacing w:after="0"/>
              <w:rPr>
                <w:sz w:val="1"/>
                <w:szCs w:val="1"/>
                <w:color w:val="auto"/>
              </w:rPr>
            </w:pPr>
          </w:p>
        </w:tc>
      </w:tr>
      <w:tr>
        <w:trPr>
          <w:trHeight w:val="23"/>
        </w:trPr>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gridSpan w:val="9"/>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4700" w:type="dxa"/>
            <w:vAlign w:val="bottom"/>
            <w:tcBorders>
              <w:bottom w:val="single" w:sz="8" w:color="CCEEFF"/>
            </w:tcBorders>
            <w:gridSpan w:val="10"/>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Liabilities for loss and allocated loss adjustment expenses, net of reinsurance</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120,295</w:t>
            </w: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(Components may not sum to totals due to rounding)</w:t>
      </w:r>
    </w:p>
    <w:p>
      <w:pPr>
        <w:spacing w:after="0" w:line="221"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reconciliation of the net incurred and paid loss development tables to the loss and LAE reserves in the condensed consolidated balance sheet is as follows: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Reconciliation of the Disclosure of Incurred and Paid Loss Development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 the Liability for Loss and LAE Reserves</w:t>
      </w:r>
    </w:p>
    <w:p>
      <w:pPr>
        <w:spacing w:after="0" w:line="242"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96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Pr>
          <w:p>
            <w:pPr>
              <w:spacing w:after="0"/>
              <w:rPr>
                <w:sz w:val="16"/>
                <w:szCs w:val="16"/>
                <w:color w:val="auto"/>
              </w:rPr>
            </w:pPr>
          </w:p>
        </w:tc>
        <w:tc>
          <w:tcPr>
            <w:tcW w:w="13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25"/>
        </w:trPr>
        <w:tc>
          <w:tcPr>
            <w:tcW w:w="962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0" w:type="dxa"/>
            <w:vAlign w:val="bottom"/>
          </w:tcPr>
          <w:p>
            <w:pPr>
              <w:spacing w:after="0"/>
              <w:rPr>
                <w:sz w:val="1"/>
                <w:szCs w:val="1"/>
                <w:color w:val="auto"/>
              </w:rPr>
            </w:pPr>
          </w:p>
        </w:tc>
      </w:tr>
      <w:tr>
        <w:trPr>
          <w:trHeight w:val="223"/>
        </w:trPr>
        <w:tc>
          <w:tcPr>
            <w:tcW w:w="9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 for allocated loss and loss adjustment expenses, net of reinsurance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120,295</w:t>
            </w:r>
          </w:p>
        </w:tc>
        <w:tc>
          <w:tcPr>
            <w:tcW w:w="0" w:type="dxa"/>
            <w:vAlign w:val="bottom"/>
          </w:tcPr>
          <w:p>
            <w:pPr>
              <w:spacing w:after="0"/>
              <w:rPr>
                <w:sz w:val="1"/>
                <w:szCs w:val="1"/>
                <w:color w:val="auto"/>
              </w:rPr>
            </w:pPr>
          </w:p>
        </w:tc>
      </w:tr>
      <w:tr>
        <w:trPr>
          <w:trHeight w:val="210"/>
        </w:trPr>
        <w:tc>
          <w:tcPr>
            <w:tcW w:w="9620" w:type="dxa"/>
            <w:vAlign w:val="bottom"/>
          </w:tcPr>
          <w:p>
            <w:pPr>
              <w:spacing w:after="0"/>
              <w:rPr>
                <w:sz w:val="20"/>
                <w:szCs w:val="20"/>
                <w:color w:val="auto"/>
              </w:rPr>
            </w:pPr>
            <w:r>
              <w:rPr>
                <w:rFonts w:ascii="Times New Roman" w:cs="Times New Roman" w:eastAsia="Times New Roman" w:hAnsi="Times New Roman"/>
                <w:sz w:val="16"/>
                <w:szCs w:val="16"/>
                <w:color w:val="auto"/>
              </w:rPr>
              <w:t>Total reinsurance recoverable on unpaid losses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43,143</w:t>
            </w:r>
          </w:p>
        </w:tc>
        <w:tc>
          <w:tcPr>
            <w:tcW w:w="0" w:type="dxa"/>
            <w:vAlign w:val="bottom"/>
          </w:tcPr>
          <w:p>
            <w:pPr>
              <w:spacing w:after="0"/>
              <w:rPr>
                <w:sz w:val="1"/>
                <w:szCs w:val="1"/>
                <w:color w:val="auto"/>
              </w:rPr>
            </w:pPr>
          </w:p>
        </w:tc>
      </w:tr>
      <w:tr>
        <w:trPr>
          <w:trHeight w:val="33"/>
        </w:trPr>
        <w:tc>
          <w:tcPr>
            <w:tcW w:w="9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Unallocated loss adjustment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8,311</w:t>
            </w:r>
          </w:p>
        </w:tc>
        <w:tc>
          <w:tcPr>
            <w:tcW w:w="0" w:type="dxa"/>
            <w:vAlign w:val="bottom"/>
          </w:tcPr>
          <w:p>
            <w:pPr>
              <w:spacing w:after="0"/>
              <w:rPr>
                <w:sz w:val="1"/>
                <w:szCs w:val="1"/>
                <w:color w:val="auto"/>
              </w:rPr>
            </w:pPr>
          </w:p>
        </w:tc>
      </w:tr>
      <w:tr>
        <w:trPr>
          <w:trHeight w:val="204"/>
        </w:trPr>
        <w:tc>
          <w:tcPr>
            <w:tcW w:w="9620" w:type="dxa"/>
            <w:vAlign w:val="bottom"/>
          </w:tcPr>
          <w:p>
            <w:pPr>
              <w:spacing w:after="0"/>
              <w:rPr>
                <w:sz w:val="20"/>
                <w:szCs w:val="20"/>
                <w:color w:val="auto"/>
              </w:rPr>
            </w:pPr>
            <w:r>
              <w:rPr>
                <w:rFonts w:ascii="Times New Roman" w:cs="Times New Roman" w:eastAsia="Times New Roman" w:hAnsi="Times New Roman"/>
                <w:sz w:val="16"/>
                <w:szCs w:val="16"/>
                <w:color w:val="auto"/>
              </w:rPr>
              <w:t>Total gross liability for loss and LAE reserves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171,749</w:t>
            </w:r>
          </w:p>
        </w:tc>
        <w:tc>
          <w:tcPr>
            <w:tcW w:w="0" w:type="dxa"/>
            <w:vAlign w:val="bottom"/>
          </w:tcPr>
          <w:p>
            <w:pPr>
              <w:spacing w:after="0"/>
              <w:rPr>
                <w:sz w:val="1"/>
                <w:szCs w:val="1"/>
                <w:color w:val="auto"/>
              </w:rPr>
            </w:pPr>
          </w:p>
        </w:tc>
      </w:tr>
      <w:tr>
        <w:trPr>
          <w:trHeight w:val="33"/>
        </w:trPr>
        <w:tc>
          <w:tcPr>
            <w:tcW w:w="9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Reinsurance</w:t>
      </w:r>
    </w:p>
    <w:p>
      <w:pPr>
        <w:spacing w:after="0" w:line="22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On January 1, 2025, the Company entered into a 16% quota share reinsurance treaty for its personal lines business, which primarily consisted of homeowners’ and dwelling fire policies, covering the period from January 1, 2025 through January 1, 2026 (“2025/2026 Treaty”). Upon the expiration of the 2025/2026 Treaty on January 1, 2026, the Company entered into a new 5% quota share reinsurance treaty for its personal lines business written in all states except California (for which the Company entered into a new 30% quota share reinsurance treaty) covering the period from January 1, 2026 through January 1, 2027 (“2026/2027 Treaty”).</w:t>
      </w:r>
    </w:p>
    <w:p>
      <w:pPr>
        <w:spacing w:after="0" w:line="17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Company’s excess of loss and catastrophe reinsurance treaties expired on June 30, 2025 and the Company entered into new excess of loss and catastrophe reinsurance treaties effective July 1, 2025. The new catastrophe reinsurance treaties include the issuance of a $125,000,000 catastrophe bond ("Series 2025-1 Notes"). The Series 2025-1 Notes were priced at 4.5% and issued through a Bermuda-registered special purpose insurer, 1886 Re Ltd., providing KICO with $125,000,000 of collateralized reinsurance protection. The Series 2025-1 Notes offer multi-year protection against named storm events across New York, New Jersey, Connecticut, Massachusetts and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Rhode Island on an indemnity trigger and per-occurrence basis. The Series 2025-1 Notes, which were structured and placed by AON Securities LLC, cover four annual risk periods from July 1, 2025, through June 30, 2029.</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Effective January 1, 2025, the Company renewed an underlying excess of loss reinsurance treaty ("Underlying XOL Treaty") covering the period from January 1, 2025 through June 30, 2025. The treaty provided 50% reinsurance coverage for losses of $400,000 in excess of $600,000. Losses from named storms were excluded from the treaty. Effective July 1, 2025, the Underlying XOL Treaty was renewed along with the Company's excess of loss reinsurance treaty covering the period from July 1, 2025 through June 30, 2026. Combined, the renewed treaties provide 50% reinsurance coverage for losses of $250,000 in excess of $750,000, and 100% reinsurance coverage for losses in excess of $1,000,000 up to $9,000,000 together with facultative coverage. For the period October 1, 2024 through April 30, 2025, the Company purchased catastrophe reinsurance which provides coverage for winter storm losses to the extent of 71% of $4,500,000 in excess of $5,500,000. For the period October 15, 2025 through April 30, 2026, the Company purchased catastrophe reinsurance which provides coverage for winter storm losses to the extent of 90% of $5,000,000 in excess of $5,000,000.</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Material terms for reinsurance treaties in effect for the treaty years shown below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Treaty Period</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gridSpan w:val="5"/>
          </w:tcPr>
          <w:p>
            <w:pPr>
              <w:spacing w:after="0"/>
              <w:rPr>
                <w:sz w:val="2"/>
                <w:szCs w:val="2"/>
                <w:color w:val="auto"/>
              </w:rPr>
            </w:pPr>
          </w:p>
        </w:tc>
        <w:tc>
          <w:tcPr>
            <w:tcW w:w="140" w:type="dxa"/>
            <w:vAlign w:val="bottom"/>
          </w:tcPr>
          <w:p>
            <w:pPr>
              <w:spacing w:after="0"/>
              <w:rPr>
                <w:sz w:val="2"/>
                <w:szCs w:val="2"/>
                <w:color w:val="auto"/>
              </w:rPr>
            </w:pPr>
          </w:p>
        </w:tc>
        <w:tc>
          <w:tcPr>
            <w:tcW w:w="2860" w:type="dxa"/>
            <w:vAlign w:val="bottom"/>
            <w:gridSpan w:val="5"/>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2026/2027 Treaty</w:t>
            </w:r>
          </w:p>
        </w:tc>
        <w:tc>
          <w:tcPr>
            <w:tcW w:w="140" w:type="dxa"/>
            <w:vAlign w:val="bottom"/>
            <w:tcBorders>
              <w:top w:val="single" w:sz="8" w:color="auto"/>
            </w:tcBorders>
          </w:tcPr>
          <w:p>
            <w:pPr>
              <w:spacing w:after="0"/>
              <w:rPr>
                <w:sz w:val="18"/>
                <w:szCs w:val="18"/>
                <w:color w:val="auto"/>
              </w:rPr>
            </w:pPr>
          </w:p>
        </w:tc>
        <w:tc>
          <w:tcPr>
            <w:tcW w:w="2760" w:type="dxa"/>
            <w:vAlign w:val="bottom"/>
            <w:tcBorders>
              <w:top w:val="single" w:sz="8" w:color="auto"/>
            </w:tcBorders>
            <w:gridSpan w:val="4"/>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2025/2026 Treaty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jc w:val="center"/>
              <w:ind w:right="240"/>
              <w:spacing w:after="0" w:line="182" w:lineRule="exact"/>
              <w:rPr>
                <w:sz w:val="20"/>
                <w:szCs w:val="20"/>
                <w:color w:val="auto"/>
              </w:rPr>
            </w:pPr>
            <w:r>
              <w:rPr>
                <w:rFonts w:ascii="Times New Roman" w:cs="Times New Roman" w:eastAsia="Times New Roman" w:hAnsi="Times New Roman"/>
                <w:sz w:val="16"/>
                <w:szCs w:val="16"/>
                <w:b w:val="1"/>
                <w:bCs w:val="1"/>
                <w:color w:val="auto"/>
              </w:rPr>
              <w:t>July 1,</w:t>
            </w: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79"/>
              <w:spacing w:after="0" w:line="182" w:lineRule="exact"/>
              <w:rPr>
                <w:sz w:val="20"/>
                <w:szCs w:val="20"/>
                <w:color w:val="auto"/>
              </w:rPr>
            </w:pPr>
            <w:r>
              <w:rPr>
                <w:rFonts w:ascii="Times New Roman" w:cs="Times New Roman" w:eastAsia="Times New Roman" w:hAnsi="Times New Roman"/>
                <w:sz w:val="16"/>
                <w:szCs w:val="16"/>
                <w:b w:val="1"/>
                <w:bCs w:val="1"/>
                <w:color w:val="auto"/>
              </w:rPr>
              <w:t>January 2,</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jc w:val="center"/>
              <w:ind w:right="260"/>
              <w:spacing w:after="0" w:line="182" w:lineRule="exact"/>
              <w:rPr>
                <w:sz w:val="20"/>
                <w:szCs w:val="20"/>
                <w:color w:val="auto"/>
              </w:rPr>
            </w:pPr>
            <w:r>
              <w:rPr>
                <w:rFonts w:ascii="Times New Roman" w:cs="Times New Roman" w:eastAsia="Times New Roman" w:hAnsi="Times New Roman"/>
                <w:sz w:val="16"/>
                <w:szCs w:val="16"/>
                <w:b w:val="1"/>
                <w:bCs w:val="1"/>
                <w:color w:val="auto"/>
              </w:rPr>
              <w:t>July 1,</w:t>
            </w: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79"/>
              <w:spacing w:after="0" w:line="182" w:lineRule="exact"/>
              <w:rPr>
                <w:sz w:val="20"/>
                <w:szCs w:val="20"/>
                <w:color w:val="auto"/>
              </w:rPr>
            </w:pPr>
            <w:r>
              <w:rPr>
                <w:rFonts w:ascii="Times New Roman" w:cs="Times New Roman" w:eastAsia="Times New Roman" w:hAnsi="Times New Roman"/>
                <w:sz w:val="16"/>
                <w:szCs w:val="16"/>
                <w:b w:val="1"/>
                <w:bCs w:val="1"/>
                <w:color w:val="auto"/>
              </w:rPr>
              <w:t>January 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center"/>
              <w:ind w:right="79"/>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ind w:right="59"/>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ind w:right="99"/>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ind w:right="59"/>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89"/>
              </w:rPr>
              <w:t>to</w:t>
            </w: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to</w:t>
            </w: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to</w:t>
            </w: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to</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Line of Business</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January 1,</w:t>
            </w: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January 1,</w:t>
            </w: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25"/>
        </w:trPr>
        <w:tc>
          <w:tcPr>
            <w:tcW w:w="20" w:type="dxa"/>
            <w:vAlign w:val="bottom"/>
            <w:tcBorders>
              <w:bottom w:val="single" w:sz="8" w:color="auto"/>
            </w:tcBorders>
          </w:tcPr>
          <w:p>
            <w:pPr>
              <w:spacing w:after="0"/>
              <w:rPr>
                <w:sz w:val="19"/>
                <w:szCs w:val="19"/>
                <w:color w:val="auto"/>
              </w:rPr>
            </w:pPr>
          </w:p>
        </w:tc>
        <w:tc>
          <w:tcPr>
            <w:tcW w:w="5160" w:type="dxa"/>
            <w:vAlign w:val="bottom"/>
            <w:tcBorders>
              <w:bottom w:val="single" w:sz="8" w:color="auto"/>
            </w:tcBorders>
            <w:gridSpan w:val="3"/>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2027</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2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Personal Lines: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2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Homeowners, dwelling fire and canine legal liability</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Quota share treaty:</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260" w:type="dxa"/>
            <w:vAlign w:val="bottom"/>
            <w:tcBorders>
              <w:bottom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Percent ceded (6)</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Risk retained on initial</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260" w:type="dxa"/>
            <w:vAlign w:val="bottom"/>
            <w:tcBorders>
              <w:bottom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$1,000,000 of losses (4) (5) (6)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950,000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950,000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840,000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840,000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Losses per occurrence</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260" w:type="dxa"/>
            <w:vAlign w:val="bottom"/>
            <w:tcBorders>
              <w:bottom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subject to quota share</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reinsurance coverage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260" w:type="dxa"/>
            <w:vAlign w:val="bottom"/>
            <w:tcBorders>
              <w:bottom w:val="single" w:sz="8" w:color="CCEEFF"/>
            </w:tcBorders>
            <w:gridSpan w:val="4"/>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Expiration date</w:t>
            </w: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 2027</w:t>
            </w: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January 1, 2027</w:t>
            </w: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January 1, 2026</w:t>
            </w: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January 1, 2026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Excess of loss coverage and</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260" w:type="dxa"/>
            <w:vAlign w:val="bottom"/>
            <w:tcBorders>
              <w:bottom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facultative facility</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coverage (1) (4) (5)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8,250,000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8,250,000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8,400,000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3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 excess of</w:t>
            </w:r>
          </w:p>
        </w:tc>
        <w:tc>
          <w:tcPr>
            <w:tcW w:w="1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excess of</w:t>
            </w:r>
          </w:p>
        </w:tc>
        <w:tc>
          <w:tcPr>
            <w:tcW w:w="1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 excess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26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reinsurance coverage</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per occurrence (4) (5)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8,175,000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8,285,000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8,360,000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26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Losses per occurrence</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subject to reinsurance</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260" w:type="dxa"/>
            <w:vAlign w:val="bottom"/>
            <w:tcBorders>
              <w:bottom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coverage (5)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9,000,000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9,000,000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9,000,000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Expiration date</w:t>
            </w:r>
          </w:p>
        </w:tc>
        <w:tc>
          <w:tcPr>
            <w:tcW w:w="12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June 30, 2026</w:t>
            </w:r>
          </w:p>
        </w:tc>
        <w:tc>
          <w:tcPr>
            <w:tcW w:w="14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June 30, 2026</w:t>
            </w:r>
          </w:p>
        </w:tc>
        <w:tc>
          <w:tcPr>
            <w:tcW w:w="14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June 30, 2025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3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6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Catastrophe Reinsurance:</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3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26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Initial loss subject to personal</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lines quota share treaty (5)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26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Risk retained per catastrophe</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occurrence (5) (6) (7) (8)</w:t>
            </w:r>
          </w:p>
        </w:tc>
        <w:tc>
          <w:tcPr>
            <w:tcW w:w="12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5,500,000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5,000,000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26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Catastrophe loss coverage</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in excess of quota share</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260" w:type="dxa"/>
            <w:vAlign w:val="bottom"/>
            <w:tcBorders>
              <w:bottom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coverage (2) (5) (8)</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434,500,000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435,000,000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275,000,000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26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Reinstatement premium</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protection (3)</w:t>
            </w:r>
          </w:p>
        </w:tc>
        <w:tc>
          <w:tcPr>
            <w:tcW w:w="12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6"/>
              </w:rPr>
              <w:t>Yes</w:t>
            </w: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6"/>
              </w:rPr>
              <w:t>Yes</w:t>
            </w: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6"/>
              </w:rPr>
              <w:t>Yes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40" w:hanging="1060"/>
        <w:spacing w:after="0" w:line="280" w:lineRule="auto"/>
        <w:tabs>
          <w:tab w:leader="none" w:pos="20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personal lines, includes the addition of an automatic facultative facility allowing KICO to obtain homeowners single risk coverage up to $9,000,000 in total insured value, which covers direct losses from $3,500,000 to $9,000,000 through June 30, 2026.</w:t>
      </w:r>
    </w:p>
    <w:p>
      <w:pPr>
        <w:spacing w:after="0" w:line="232" w:lineRule="exact"/>
        <w:rPr>
          <w:rFonts w:ascii="Times New Roman" w:cs="Times New Roman" w:eastAsia="Times New Roman" w:hAnsi="Times New Roman"/>
          <w:sz w:val="16"/>
          <w:szCs w:val="16"/>
          <w:color w:val="auto"/>
        </w:rPr>
      </w:pPr>
    </w:p>
    <w:p>
      <w:pPr>
        <w:jc w:val="both"/>
        <w:ind w:left="2040" w:hanging="1060"/>
        <w:spacing w:after="0" w:line="263" w:lineRule="auto"/>
        <w:tabs>
          <w:tab w:leader="none" w:pos="20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Catastrophe coverage is limited on an annual basis to two times the per occurrence amounts, except for one occurrence on 80% of the first layer of $5,000,000 in excess of $5,000,000, and one occurrence on 52% of the top layer of $240,000,000 in excess of $200,000,000, which is covered under the catastrophe</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40"/>
        <w:spacing w:after="0" w:line="280" w:lineRule="auto"/>
        <w:rPr>
          <w:sz w:val="20"/>
          <w:szCs w:val="20"/>
          <w:color w:val="auto"/>
        </w:rPr>
      </w:pPr>
      <w:r>
        <w:rPr>
          <w:rFonts w:ascii="Times New Roman" w:cs="Times New Roman" w:eastAsia="Times New Roman" w:hAnsi="Times New Roman"/>
          <w:sz w:val="16"/>
          <w:szCs w:val="16"/>
          <w:color w:val="auto"/>
        </w:rPr>
        <w:t>bond. Duration of 168 consecutive hours for a catastrophe occurrence from windstorm, hail, tornado, hurricane and cyclone, except for winter storm coverage, which is covered under a specific declared catastrophe event.</w:t>
      </w:r>
    </w:p>
    <w:p>
      <w:pPr>
        <w:spacing w:after="0" w:line="232" w:lineRule="exact"/>
        <w:rPr>
          <w:sz w:val="20"/>
          <w:szCs w:val="20"/>
          <w:color w:val="auto"/>
        </w:rPr>
      </w:pPr>
    </w:p>
    <w:p>
      <w:pPr>
        <w:jc w:val="both"/>
        <w:ind w:left="2040" w:hanging="1060"/>
        <w:spacing w:after="0" w:line="263" w:lineRule="auto"/>
        <w:tabs>
          <w:tab w:leader="none" w:pos="20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period July 1, 2024 through June 30, 2025 (expiration date of the catastrophe reinsurance treaty), reinstatement premium protection for $50,000,000 of catastrophe coverage in excess of $10,000,000. For the period July 1, 2025 through June 30, 2026 (expiration date of the catastrophe reinsurance treaty), reinstatement premium protection for $50,000,000 of catastrophe coverage in excess of $10,000,000.</w:t>
      </w:r>
    </w:p>
    <w:p>
      <w:pPr>
        <w:spacing w:after="0" w:line="245" w:lineRule="exact"/>
        <w:rPr>
          <w:rFonts w:ascii="Times New Roman" w:cs="Times New Roman" w:eastAsia="Times New Roman" w:hAnsi="Times New Roman"/>
          <w:sz w:val="16"/>
          <w:szCs w:val="16"/>
          <w:color w:val="auto"/>
        </w:rPr>
      </w:pPr>
    </w:p>
    <w:p>
      <w:pPr>
        <w:jc w:val="both"/>
        <w:ind w:left="2040" w:hanging="1060"/>
        <w:spacing w:after="0" w:line="249" w:lineRule="auto"/>
        <w:tabs>
          <w:tab w:leader="none" w:pos="20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period January 1, 2024 through June 30, 2025, the Underlying XOL Treaty provides 50% reinsurance coverage for losses of $400,000 in excess of $600,000. Excludes losses from named storms. Reduces retention to $530,000 from $730,000 under the quota share treaty that expired on January 1, 2025. Retention increases to $640,000 from $530,000 under the 2025/2026 Treaty. For the period July 1, 2025 through June 30, 2026, the Underlying XOL Treaty combined with the excess of loss treaty provide 50% reinsurance coverage for losses of $250,000 in excess of $750,000, and 100% reinsurance coverage for losses in excess of $1,000,000 up to $9,000,000 together with facultative coverage. Increased retention to $715,000 from $640,000 under the 2025/2026 Treaty, and increased retention to $825,000 under the 2026/2027 Treaty (see note 5 below).</w:t>
      </w:r>
    </w:p>
    <w:p>
      <w:pPr>
        <w:spacing w:after="0" w:line="256" w:lineRule="exact"/>
        <w:rPr>
          <w:rFonts w:ascii="Times New Roman" w:cs="Times New Roman" w:eastAsia="Times New Roman" w:hAnsi="Times New Roman"/>
          <w:sz w:val="16"/>
          <w:szCs w:val="16"/>
          <w:color w:val="auto"/>
        </w:rPr>
      </w:pPr>
    </w:p>
    <w:p>
      <w:pPr>
        <w:jc w:val="both"/>
        <w:ind w:left="2040" w:hanging="1060"/>
        <w:spacing w:after="0" w:line="250" w:lineRule="auto"/>
        <w:tabs>
          <w:tab w:leader="none" w:pos="20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Excess of loss coverage and facultative facility and catastrophe reinsurance treaties will expire on June 30, 2026, with none of these coverages to be in effect during the period from July 1 2026 through January 1, 2027. If and when these treaties are renewed on July 1, 2026, the excess of loss and facultative facility, underlying excess of loss treaty, and the catastrophe reinsurance treaty, will be as provided for therein. Reinsurance coverage in effect from July 1, 2026 through January 1, 2027 is currently only covered under the 2026/2027 Treaty. The 2026/2027 Treaty will expire on January 1, 2027.</w:t>
      </w:r>
    </w:p>
    <w:p>
      <w:pPr>
        <w:spacing w:after="0" w:line="256" w:lineRule="exact"/>
        <w:rPr>
          <w:rFonts w:ascii="Times New Roman" w:cs="Times New Roman" w:eastAsia="Times New Roman" w:hAnsi="Times New Roman"/>
          <w:sz w:val="16"/>
          <w:szCs w:val="16"/>
          <w:color w:val="auto"/>
        </w:rPr>
      </w:pPr>
    </w:p>
    <w:p>
      <w:pPr>
        <w:ind w:left="2040" w:hanging="1060"/>
        <w:spacing w:after="0" w:line="280" w:lineRule="auto"/>
        <w:tabs>
          <w:tab w:leader="none" w:pos="20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2025/2026 Treaty, 6% of the 16% total of losses ceded under this treaty were excluded from a named catastrophe event. For the 2026/2027 Treaty, there is no exclusion for catastrophe events.</w:t>
      </w:r>
    </w:p>
    <w:p>
      <w:pPr>
        <w:spacing w:after="0" w:line="232" w:lineRule="exact"/>
        <w:rPr>
          <w:rFonts w:ascii="Times New Roman" w:cs="Times New Roman" w:eastAsia="Times New Roman" w:hAnsi="Times New Roman"/>
          <w:sz w:val="16"/>
          <w:szCs w:val="16"/>
          <w:color w:val="auto"/>
        </w:rPr>
      </w:pPr>
    </w:p>
    <w:p>
      <w:pPr>
        <w:ind w:left="2040" w:hanging="1060"/>
        <w:spacing w:after="0"/>
        <w:tabs>
          <w:tab w:leader="none" w:pos="20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Plus losses in excess of catastrophe coverage.</w:t>
      </w:r>
    </w:p>
    <w:p>
      <w:pPr>
        <w:spacing w:after="0" w:line="288" w:lineRule="exact"/>
        <w:rPr>
          <w:rFonts w:ascii="Times New Roman" w:cs="Times New Roman" w:eastAsia="Times New Roman" w:hAnsi="Times New Roman"/>
          <w:sz w:val="16"/>
          <w:szCs w:val="16"/>
          <w:color w:val="auto"/>
        </w:rPr>
      </w:pPr>
    </w:p>
    <w:p>
      <w:pPr>
        <w:jc w:val="both"/>
        <w:ind w:left="2040" w:hanging="1060"/>
        <w:spacing w:after="0" w:line="249" w:lineRule="auto"/>
        <w:tabs>
          <w:tab w:leader="none" w:pos="20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July 1, 2025 through June 30, 2026, catastrophe coverage is 80% of the first layer of $5,000,000 in excess of $5,000,000. The remaining coverage is at 100% of $430,000,000 in excess of $10,000,000. For the period October 1, 2024 through April 30, 2025, additional catastrophe reinsurance treaty provided coverage for winter storm losses to the extent of 71% of $4,500,000 in excess of $5,500,000. For the period October 15, 2025 through April 30, 2026, additional catastrophe reinsurance treaty will provide coverage for winter storm losses to the extent of 90% of $5,000,000 in excess of $5,000,000. Retention for winter storms is $5,200,000 under the 2025/2026 Treaty from January 1, 2025 through April 30, 2025, $3,900,000 from October 15, 2025 through January 1, 2026, the expiration date of the 2025/2026 Treaty, and $5,000,000 under the 2026/2027 Treaty through April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50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4"/>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Treaty Year</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6"/>
                <w:szCs w:val="16"/>
                <w:b w:val="1"/>
                <w:bCs w:val="1"/>
                <w:color w:val="auto"/>
              </w:rPr>
              <w:t>July 1, 2025</w:t>
            </w:r>
          </w:p>
        </w:tc>
        <w:tc>
          <w:tcPr>
            <w:tcW w:w="180" w:type="dxa"/>
            <w:vAlign w:val="bottom"/>
          </w:tcPr>
          <w:p>
            <w:pPr>
              <w:spacing w:after="0"/>
              <w:rPr>
                <w:sz w:val="15"/>
                <w:szCs w:val="15"/>
                <w:color w:val="auto"/>
              </w:rPr>
            </w:pPr>
          </w:p>
        </w:tc>
        <w:tc>
          <w:tcPr>
            <w:tcW w:w="1240" w:type="dxa"/>
            <w:vAlign w:val="bottom"/>
          </w:tcPr>
          <w:p>
            <w:pPr>
              <w:jc w:val="center"/>
              <w:ind w:right="99"/>
              <w:spacing w:after="0" w:line="181" w:lineRule="exact"/>
              <w:rPr>
                <w:sz w:val="20"/>
                <w:szCs w:val="20"/>
                <w:color w:val="auto"/>
              </w:rPr>
            </w:pPr>
            <w:r>
              <w:rPr>
                <w:rFonts w:ascii="Times New Roman" w:cs="Times New Roman" w:eastAsia="Times New Roman" w:hAnsi="Times New Roman"/>
                <w:sz w:val="16"/>
                <w:szCs w:val="16"/>
                <w:b w:val="1"/>
                <w:bCs w:val="1"/>
                <w:color w:val="auto"/>
              </w:rPr>
              <w:t>July 1, 2024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Line of Business</w:t>
            </w:r>
          </w:p>
        </w:tc>
        <w:tc>
          <w:tcPr>
            <w:tcW w:w="4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to</w:t>
            </w:r>
          </w:p>
        </w:tc>
        <w:tc>
          <w:tcPr>
            <w:tcW w:w="180" w:type="dxa"/>
            <w:vAlign w:val="bottom"/>
          </w:tcPr>
          <w:p>
            <w:pPr>
              <w:spacing w:after="0"/>
              <w:rPr>
                <w:sz w:val="16"/>
                <w:szCs w:val="16"/>
                <w:color w:val="auto"/>
              </w:rPr>
            </w:pPr>
          </w:p>
        </w:tc>
        <w:tc>
          <w:tcPr>
            <w:tcW w:w="12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to</w:t>
            </w:r>
          </w:p>
        </w:tc>
        <w:tc>
          <w:tcPr>
            <w:tcW w:w="0" w:type="dxa"/>
            <w:vAlign w:val="bottom"/>
          </w:tcPr>
          <w:p>
            <w:pPr>
              <w:spacing w:after="0"/>
              <w:rPr>
                <w:sz w:val="1"/>
                <w:szCs w:val="1"/>
                <w:color w:val="auto"/>
              </w:rPr>
            </w:pPr>
          </w:p>
        </w:tc>
      </w:tr>
      <w:tr>
        <w:trPr>
          <w:trHeight w:val="225"/>
        </w:trPr>
        <w:tc>
          <w:tcPr>
            <w:tcW w:w="20" w:type="dxa"/>
            <w:vAlign w:val="bottom"/>
            <w:tcBorders>
              <w:bottom w:val="single" w:sz="8" w:color="auto"/>
            </w:tcBorders>
          </w:tcPr>
          <w:p>
            <w:pPr>
              <w:spacing w:after="0"/>
              <w:rPr>
                <w:sz w:val="19"/>
                <w:szCs w:val="19"/>
                <w:color w:val="auto"/>
              </w:rPr>
            </w:pPr>
          </w:p>
        </w:tc>
        <w:tc>
          <w:tcPr>
            <w:tcW w:w="5140" w:type="dxa"/>
            <w:vAlign w:val="bottom"/>
            <w:tcBorders>
              <w:bottom w:val="single" w:sz="8" w:color="auto"/>
            </w:tcBorders>
            <w:gridSpan w:val="2"/>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June 30, 2026</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8"/>
              </w:rPr>
              <w:t>Personal Lines:</w:t>
            </w:r>
          </w:p>
        </w:tc>
        <w:tc>
          <w:tcPr>
            <w:tcW w:w="454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Personal Umbrella</w:t>
            </w: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Quota share treaty:</w:t>
            </w: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54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Percent ceded - first $1,000,000 of coverage</w:t>
            </w:r>
          </w:p>
        </w:tc>
        <w:tc>
          <w:tcPr>
            <w:tcW w:w="1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Percent ceded - excess of $1,000,000 of coverage</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54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Risk retained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300,000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Total reinsurance coverage per occurrence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4,700,000</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4,700,000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54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Losses per occurrence subject to quota share reinsurance coverage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5,000,000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Expiration date</w:t>
            </w:r>
          </w:p>
        </w:tc>
        <w:tc>
          <w:tcPr>
            <w:tcW w:w="16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June 30, 2026</w:t>
            </w:r>
          </w:p>
        </w:tc>
        <w:tc>
          <w:tcPr>
            <w:tcW w:w="180" w:type="dxa"/>
            <w:vAlign w:val="bottom"/>
          </w:tcPr>
          <w:p>
            <w:pPr>
              <w:spacing w:after="0"/>
              <w:rPr>
                <w:sz w:val="18"/>
                <w:szCs w:val="18"/>
                <w:color w:val="auto"/>
              </w:rPr>
            </w:pPr>
          </w:p>
        </w:tc>
        <w:tc>
          <w:tcPr>
            <w:tcW w:w="12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June 30, 2025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1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ind w:left="660"/>
        <w:spacing w:after="0"/>
        <w:rPr>
          <w:sz w:val="20"/>
          <w:szCs w:val="20"/>
          <w:color w:val="auto"/>
        </w:rPr>
      </w:pPr>
      <w:r>
        <w:rPr>
          <w:rFonts w:ascii="Times New Roman" w:cs="Times New Roman" w:eastAsia="Times New Roman" w:hAnsi="Times New Roman"/>
          <w:sz w:val="16"/>
          <w:szCs w:val="16"/>
          <w:color w:val="auto"/>
        </w:rPr>
        <w:t>Commercial Lines (1)</w:t>
      </w:r>
    </w:p>
    <w:p>
      <w:pPr>
        <w:spacing w:after="0" w:line="248" w:lineRule="exact"/>
        <w:rPr>
          <w:sz w:val="20"/>
          <w:szCs w:val="20"/>
          <w:color w:val="auto"/>
        </w:rPr>
      </w:pPr>
    </w:p>
    <w:p>
      <w:pPr>
        <w:ind w:left="1980" w:hanging="974"/>
        <w:spacing w:after="0"/>
        <w:tabs>
          <w:tab w:leader="none" w:pos="19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Coverage on all commercial lines policies expired in September 2020; reinsurance coverage is based on treaties in effect on the date of loss.</w:t>
      </w:r>
    </w:p>
    <w:p>
      <w:pPr>
        <w:spacing w:after="0" w:line="2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The Company’s reinsurance program has been structured to enable the Company to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Ceding Commission Revenue</w:t>
      </w:r>
    </w:p>
    <w:p>
      <w:pPr>
        <w:spacing w:after="0" w:line="2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Company earned ceding commission revenue under the 2025/2026 Treaty for the three months ended March 31, 2025 based on: (i) a fixed provisional commission rate at which provisional ceding commissions were earned, and (ii) a sliding scale ("Sliding Scale") of commission rates and ultimate treaty year loss ratio on the policies reinsured under this agreement based upon which contingent ceding commissions are earned. The Sliding Scale included minimum and maximum commission rates in relation to specified ultimate loss ratios. The commission rate and contingent ceding commissions earned increase when the estimated ultimate loss ratio decreases and, conversely, the commission rate and contingent ceding commissions earned decrease when the estimated ultimate loss ratio increases.</w:t>
      </w:r>
    </w:p>
    <w:p>
      <w:pPr>
        <w:spacing w:after="0" w:line="19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Company earned ceding commission revenue under the 2026/2027 Treaty for the three months ended March 31, 2026 based on only a fixed provisional commission rate at which provisional ceding commissions were earned, with no provision for Sliding Scale ceding commission.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Ceding commission revenue consists of the following:</w:t>
      </w:r>
    </w:p>
    <w:p>
      <w:pPr>
        <w:spacing w:after="0" w:line="273" w:lineRule="exact"/>
        <w:rPr>
          <w:sz w:val="20"/>
          <w:szCs w:val="20"/>
          <w:color w:val="auto"/>
        </w:rPr>
      </w:pPr>
    </w:p>
    <w:p>
      <w:pPr>
        <w:jc w:val="center"/>
        <w:ind w:left="19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12" w:lineRule="exact"/>
        <w:rPr>
          <w:sz w:val="20"/>
          <w:szCs w:val="20"/>
          <w:color w:val="auto"/>
        </w:rPr>
      </w:pPr>
    </w:p>
    <w:p>
      <w:pPr>
        <w:jc w:val="center"/>
        <w:ind w:left="19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0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1"/>
        </w:trPr>
        <w:tc>
          <w:tcPr>
            <w:tcW w:w="5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6"/>
        </w:trPr>
        <w:tc>
          <w:tcPr>
            <w:tcW w:w="5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3"/>
        </w:trPr>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Provisional ceding commissions earned</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1,276,750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3,252,404</w:t>
            </w:r>
          </w:p>
        </w:tc>
      </w:tr>
      <w:tr>
        <w:trPr>
          <w:trHeight w:val="210"/>
        </w:trPr>
        <w:tc>
          <w:tcPr>
            <w:tcW w:w="5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Contingent ceding commissions earned</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(293,713)</w:t>
            </w:r>
          </w:p>
        </w:tc>
      </w:tr>
      <w:tr>
        <w:trPr>
          <w:trHeight w:val="33"/>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1"/>
        </w:trPr>
        <w:tc>
          <w:tcPr>
            <w:tcW w:w="50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1,403,876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2,958,691</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Provisional ceding commissions are settled monthly. Balances due to or from reinsurers for contingent ceding commissions on the 2025/2026 Treaty will be settled annually based on the Loss Ratio of the treaty year that ends on January 1. Balances due to or from reinsurers for Sliding Scale contingent ceding commissions on quota share treaties are settled periodically based on the Loss Ratio of each treaty year that ends on June 30 for the expired treaties (which had June 30 expiration dates) that were subject to Sliding Scale contingent commissions. The Loss Ratios from prior years’ treaties are subject to change as incurred losses from those periods develop, resulting in an increase or decrease in the commission rate and Sliding Scale contingent ceding commissions earned. As of March 31, 2026 and December 31, 2025, contingent ceding commissions receivable from reinsurers under the 2025/2026 Treaty was approximately $1,882,000 and $1,754,000, respectively, which is recorded in other assets on the accompanying condensed consolidated balance sheets. As of March 31, 2026 and December 31, 2025, net contingent ceding commissions payable to reinsurers under all other treaties was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approximately $733,000 and $732,000, respectively, which is recorded in reinsurance balances payable on the accompanying condensed consolidated balance sheets.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Expected Credit Losses – Uncollectible Reinsurance</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reviews reinsurance receivables which relate to both amounts already billed on ceded paid losses as well as ceded reserves that will be billed when losses are paid in the future. The Company has not recorded an allowance for uncollectible reinsurance as there is no perceived credit risk. The principal credit quality indicator used in the valuation of the allowance for reinsurance receivables is the financial strength rating of the reinsurer sourced from major rating agencies. Changes in the allowance for credit losses are presented as a component of other underwriting expenses on the condensed consolidated statements of operations and comprehensive (loss) income.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Debt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Federal Home Loan Bank</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In July 2017, KICO became a member of, and invested in, the FHLBNY. KICO is required to maintain an investment in the capital stock of FHLBNY. Based on the redemption provisions of FHLBNY, the stock has no quoted market value and is carried at cost. At its discretion, FHLBNY may declare dividends on the stock. Management reviews the stock for impairment based on the ultimate recoverability of the cost basis in the stock. At March 31, 2026 and December 31, 2025, no impairment has been recognized. FHLBNY members have access to a variety of flexible, low cost funding through FHLBNY’s credit products, enabling members to customize advances, which are to be fully collateralized. Eligible collateral to pledge to FHLBNY includes residential and commercial mortgage-backed securities, along with U.S. Treasury and agency securities. See Note 3 – Investments for eligible collateral held in a designated custodian account available for future advances. Advances are limited to 5% of KICO’s net admitted assets under statutory insurance principles as of the previous quarter. On July 6, 2023, A.M. Best withdrew KICO’s ratings as KICO requested to no longer participate in A.M. Best’s interactive rating process. As a result of the withdrawal of A.M. Best ratings, prior to April 15, 2025, KICO was only able to borrow on an overnight basis. Effective April 15, 2025, based on KICO's credit rating from FHLBNY, KICO can now borrow for a term of up to five years. If KICO has sufficient available collateral (as discussed below), based on KICO’s net admitted assets, the maximum allowable advance as of March 31, 2026 and December 31, 2025 was approximately $17,879,000 and $16,873,000, respectively. The estimated fair value of available collateral as of March 31, 2026 and December 31, 2025 was approximately $9,313,000 and $9,598,000, respectively. Effective April 15, 2025, advances are limited to 91% of the amount of available collateral. Prior to April 15, 2025, advances were limited to 85% of the amount of available collateral. There were no borrowings under this facility during the three months ended March 31, 2026 and 2025.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Debt</w:t>
            </w:r>
          </w:p>
        </w:tc>
        <w:tc>
          <w:tcPr>
            <w:tcW w:w="1480" w:type="dxa"/>
            <w:vAlign w:val="bottom"/>
          </w:tcPr>
          <w:p>
            <w:pPr>
              <w:spacing w:after="0"/>
              <w:rPr>
                <w:sz w:val="15"/>
                <w:szCs w:val="15"/>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33"/>
        </w:trPr>
        <w:tc>
          <w:tcPr>
            <w:tcW w:w="97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Debt as of March 31, 2026 and December 31, 2025 consists of the following:</w:t>
            </w:r>
          </w:p>
        </w:tc>
        <w:tc>
          <w:tcPr>
            <w:tcW w:w="1480" w:type="dxa"/>
            <w:vAlign w:val="bottom"/>
          </w:tcPr>
          <w:p>
            <w:pPr>
              <w:spacing w:after="0"/>
              <w:rPr>
                <w:sz w:val="24"/>
                <w:szCs w:val="24"/>
                <w:color w:val="auto"/>
              </w:rPr>
            </w:pPr>
          </w:p>
        </w:tc>
      </w:tr>
      <w:tr>
        <w:trPr>
          <w:trHeight w:val="422"/>
        </w:trPr>
        <w:tc>
          <w:tcPr>
            <w:tcW w:w="3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5"/>
        </w:trPr>
        <w:tc>
          <w:tcPr>
            <w:tcW w:w="8180" w:type="dxa"/>
            <w:vAlign w:val="bottom"/>
            <w:gridSpan w:val="2"/>
          </w:tcPr>
          <w:p>
            <w:pPr>
              <w:spacing w:after="0"/>
              <w:rPr>
                <w:sz w:val="19"/>
                <w:szCs w:val="19"/>
                <w:color w:val="auto"/>
              </w:rPr>
            </w:pPr>
          </w:p>
        </w:tc>
        <w:tc>
          <w:tcPr>
            <w:tcW w:w="14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13.75% Senior Notes due 2026 ("2024 Notes")</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Equipment financing</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4,122,971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4,440,127</w:t>
            </w:r>
          </w:p>
        </w:tc>
      </w:tr>
      <w:tr>
        <w:trPr>
          <w:trHeight w:val="33"/>
        </w:trPr>
        <w:tc>
          <w:tcPr>
            <w:tcW w:w="81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1"/>
        </w:trPr>
        <w:tc>
          <w:tcPr>
            <w:tcW w:w="8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Balance at end of period</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4,122,971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4,440,127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2024 Notes</w:t>
      </w:r>
    </w:p>
    <w:p>
      <w:pPr>
        <w:spacing w:after="0" w:line="23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issued the 2024 Notes in the aggregate principal amount of $14,950,000 pursuant to a debt exchange agreement (the “2024 Exchange Agreement”). Interest was payable semi-annually in arrears on June 30 and December 30 of each year at the rate of 13.75% per annum. Pursuant to the 2024 Exchange Agreement, the expiration date of the then outstanding warrants to purchase 969,525 shares of Common Stock of the Company pursuant to a 2022 debt exchange ("2022 Exchange Agreement") was extended from December 30, 2025 to June 30, 2026 (all such warrants were subsequently exercised as of December 31, 2025) (see Note 8 – Stockholders’ Equity).</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2024 Notes were redeemable, at the Company’s option, in whole or in part, at any time or in part from time to time, on and after September 12, 2024, upon not less than fifteen (15) and not more than sixty (60) days’ notice, equal to 100% of the principal amount of the 2024 Notes, plus, in each case, accrued and unpaid interest, if any, to the date of redemption subject to the right of holders of record on the relevant record date to receive interest due on the relevant interest payment date).</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The 2024 Exchange Agreement provided for mandatory and optional prepayments of principal. The Company made optional prepayments of $3,500,000 on January 28, 2025, and $2,450,000 on February 24, 2025, and accordingly, satisfied the entire principal balance of the 2024 Notes. Unamortized debt issue costs of $174,962 related to extinguished debt were expensed at the time the 2024 Notes were extinguished and recorded as loss on extinguishment of debt in the condensed consolidated statements of operations and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comprehensive (loss) income within other operating expenses.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Equipment Financing</w:t>
      </w:r>
    </w:p>
    <w:p>
      <w:pPr>
        <w:spacing w:after="0" w:line="23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October 27, 2022, KICO entered into a sale-leaseback transaction, whereby KICO sold $8,096,824 of fixed assets to a bank. Under GAAP, the sale-leaseback transaction is recorded as equipment financing (“Financing”). The provisions of the Financing require KICO to pay a monthly payment of principal and interest at the rate of 5.86% per annum totaling $126,877 for a term of 60 months, which commenced on October 27, 2022. The terms of the Financing provide buyout options to KICO at the end of the 60 month term, which are as follows:</w:t>
      </w:r>
    </w:p>
    <w:p>
      <w:pPr>
        <w:spacing w:after="0" w:line="179" w:lineRule="exact"/>
        <w:rPr>
          <w:sz w:val="20"/>
          <w:szCs w:val="20"/>
          <w:color w:val="auto"/>
        </w:rPr>
      </w:pPr>
    </w:p>
    <w:p>
      <w:pPr>
        <w:ind w:left="2040" w:hanging="1222"/>
        <w:spacing w:after="0" w:line="298" w:lineRule="auto"/>
        <w:tabs>
          <w:tab w:leader="none" w:pos="202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end of the lease, KICO may purchase the fixed assets for a purchase price of $2,024,206, which is 25% of the original fixed asset cost of $8,096,824; or</w:t>
      </w:r>
    </w:p>
    <w:p>
      <w:pPr>
        <w:spacing w:after="0" w:line="150" w:lineRule="exact"/>
        <w:rPr>
          <w:rFonts w:ascii="Times New Roman" w:cs="Times New Roman" w:eastAsia="Times New Roman" w:hAnsi="Times New Roman"/>
          <w:sz w:val="16"/>
          <w:szCs w:val="16"/>
          <w:color w:val="auto"/>
        </w:rPr>
      </w:pPr>
    </w:p>
    <w:p>
      <w:pPr>
        <w:ind w:left="2020" w:hanging="1202"/>
        <w:spacing w:after="0"/>
        <w:tabs>
          <w:tab w:leader="none" w:pos="20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KICO may renew the lease for 16 months at the same rental rate, which totals $2,030,036.</w:t>
      </w:r>
    </w:p>
    <w:p>
      <w:pPr>
        <w:spacing w:after="0" w:line="23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 provision of the Financing requires KICO to pledge collateral for the lease obligation. As of March 31, 2026 and December 31, 2025, the amount of required collateral was approximately $3,193,000 and $3,616,000, respectively. As of March 31, 2026 and December 31, 2025, the fair value of KICO’s pledged collateral was approximately $3,193,000 and $3,616,000, respectively, in various fixed-maturity securities.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Future contractual payment obligations under the Financing as of March 31, 2026 are as follows: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45"/>
        </w:trPr>
        <w:tc>
          <w:tcPr>
            <w:tcW w:w="40" w:type="dxa"/>
            <w:vAlign w:val="bottom"/>
          </w:tcPr>
          <w:p>
            <w:pPr>
              <w:spacing w:after="0"/>
              <w:rPr>
                <w:sz w:val="24"/>
                <w:szCs w:val="24"/>
                <w:color w:val="auto"/>
              </w:rPr>
            </w:pPr>
          </w:p>
        </w:tc>
        <w:tc>
          <w:tcPr>
            <w:tcW w:w="9700" w:type="dxa"/>
            <w:vAlign w:val="bottom"/>
            <w:gridSpan w:val="2"/>
          </w:tcPr>
          <w:p>
            <w:pPr>
              <w:ind w:left="3560"/>
              <w:spacing w:after="0"/>
              <w:rPr>
                <w:sz w:val="20"/>
                <w:szCs w:val="20"/>
                <w:color w:val="auto"/>
              </w:rPr>
            </w:pPr>
            <w:r>
              <w:rPr>
                <w:rFonts w:ascii="Times New Roman" w:cs="Times New Roman" w:eastAsia="Times New Roman" w:hAnsi="Times New Roman"/>
                <w:sz w:val="16"/>
                <w:szCs w:val="16"/>
                <w:b w:val="1"/>
                <w:bCs w:val="1"/>
                <w:color w:val="auto"/>
              </w:rPr>
              <w:t>For the Years Ending December 31,</w:t>
            </w:r>
          </w:p>
        </w:tc>
        <w:tc>
          <w:tcPr>
            <w:tcW w:w="340" w:type="dxa"/>
            <w:vAlign w:val="bottom"/>
          </w:tcPr>
          <w:p>
            <w:pPr>
              <w:spacing w:after="0"/>
              <w:rPr>
                <w:sz w:val="24"/>
                <w:szCs w:val="24"/>
                <w:color w:val="auto"/>
              </w:rPr>
            </w:pPr>
          </w:p>
        </w:tc>
        <w:tc>
          <w:tcPr>
            <w:tcW w:w="114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40" w:type="dxa"/>
            <w:vAlign w:val="bottom"/>
          </w:tcPr>
          <w:p>
            <w:pPr>
              <w:spacing w:after="0"/>
              <w:rPr>
                <w:sz w:val="2"/>
                <w:szCs w:val="2"/>
                <w:color w:val="auto"/>
              </w:rPr>
            </w:pPr>
          </w:p>
        </w:tc>
        <w:tc>
          <w:tcPr>
            <w:tcW w:w="9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6"/>
        </w:trPr>
        <w:tc>
          <w:tcPr>
            <w:tcW w:w="40" w:type="dxa"/>
            <w:vAlign w:val="bottom"/>
          </w:tcPr>
          <w:p>
            <w:pPr>
              <w:spacing w:after="0"/>
              <w:rPr>
                <w:sz w:val="18"/>
                <w:szCs w:val="18"/>
                <w:color w:val="auto"/>
              </w:rPr>
            </w:pPr>
          </w:p>
        </w:tc>
        <w:tc>
          <w:tcPr>
            <w:tcW w:w="9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Remainder of 2026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979,744</w:t>
            </w:r>
          </w:p>
        </w:tc>
      </w:tr>
      <w:tr>
        <w:trPr>
          <w:trHeight w:val="210"/>
        </w:trPr>
        <w:tc>
          <w:tcPr>
            <w:tcW w:w="4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1,119,021</w:t>
            </w:r>
          </w:p>
        </w:tc>
      </w:tr>
      <w:tr>
        <w:trPr>
          <w:trHeight w:val="33"/>
        </w:trPr>
        <w:tc>
          <w:tcPr>
            <w:tcW w:w="40" w:type="dxa"/>
            <w:vAlign w:val="bottom"/>
          </w:tcPr>
          <w:p>
            <w:pPr>
              <w:spacing w:after="0"/>
              <w:rPr>
                <w:sz w:val="2"/>
                <w:szCs w:val="2"/>
                <w:color w:val="auto"/>
              </w:rPr>
            </w:pPr>
          </w:p>
        </w:tc>
        <w:tc>
          <w:tcPr>
            <w:tcW w:w="9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40" w:type="dxa"/>
            <w:vAlign w:val="bottom"/>
          </w:tcPr>
          <w:p>
            <w:pPr>
              <w:spacing w:after="0"/>
              <w:rPr>
                <w:sz w:val="18"/>
                <w:szCs w:val="18"/>
                <w:color w:val="auto"/>
              </w:rPr>
            </w:pPr>
          </w:p>
        </w:tc>
        <w:tc>
          <w:tcPr>
            <w:tcW w:w="9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2,098,765</w:t>
            </w:r>
          </w:p>
        </w:tc>
      </w:tr>
      <w:tr>
        <w:trPr>
          <w:trHeight w:val="210"/>
        </w:trPr>
        <w:tc>
          <w:tcPr>
            <w:tcW w:w="4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2028 purchase price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2,024,206</w:t>
            </w:r>
          </w:p>
        </w:tc>
      </w:tr>
      <w:tr>
        <w:trPr>
          <w:trHeight w:val="33"/>
        </w:trPr>
        <w:tc>
          <w:tcPr>
            <w:tcW w:w="40" w:type="dxa"/>
            <w:vAlign w:val="bottom"/>
          </w:tcPr>
          <w:p>
            <w:pPr>
              <w:spacing w:after="0"/>
              <w:rPr>
                <w:sz w:val="2"/>
                <w:szCs w:val="2"/>
                <w:color w:val="auto"/>
              </w:rPr>
            </w:pPr>
          </w:p>
        </w:tc>
        <w:tc>
          <w:tcPr>
            <w:tcW w:w="9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2"/>
        </w:trPr>
        <w:tc>
          <w:tcPr>
            <w:tcW w:w="40" w:type="dxa"/>
            <w:vAlign w:val="bottom"/>
          </w:tcPr>
          <w:p>
            <w:pPr>
              <w:spacing w:after="0"/>
              <w:rPr>
                <w:sz w:val="22"/>
                <w:szCs w:val="22"/>
                <w:color w:val="auto"/>
              </w:rPr>
            </w:pPr>
          </w:p>
        </w:tc>
        <w:tc>
          <w:tcPr>
            <w:tcW w:w="97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4,122,971</w:t>
            </w:r>
          </w:p>
        </w:tc>
      </w:tr>
      <w:tr>
        <w:trPr>
          <w:trHeight w:val="20"/>
        </w:trPr>
        <w:tc>
          <w:tcPr>
            <w:tcW w:w="40" w:type="dxa"/>
            <w:vAlign w:val="bottom"/>
          </w:tcPr>
          <w:p>
            <w:pPr>
              <w:spacing w:after="0" w:line="20" w:lineRule="exact"/>
              <w:rPr>
                <w:sz w:val="1"/>
                <w:szCs w:val="1"/>
                <w:color w:val="auto"/>
              </w:rPr>
            </w:pPr>
          </w:p>
        </w:tc>
        <w:tc>
          <w:tcPr>
            <w:tcW w:w="9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 Stockholders’ Equity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Dividends Declared and Paid</w:t>
      </w:r>
    </w:p>
    <w:p>
      <w:pPr>
        <w:spacing w:after="0" w:line="217"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6"/>
          <w:szCs w:val="16"/>
          <w:color w:val="auto"/>
        </w:rPr>
        <w:t xml:space="preserve">Dividends declared and paid on Common Stock were </w:t>
      </w:r>
      <w:r>
        <w:rPr>
          <w:rFonts w:ascii="Times New Roman" w:cs="Times New Roman" w:eastAsia="Times New Roman" w:hAnsi="Times New Roman"/>
          <w:sz w:val="17"/>
          <w:szCs w:val="17"/>
          <w:color w:val="auto"/>
        </w:rPr>
        <w:t>$722,276</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7"/>
          <w:szCs w:val="17"/>
          <w:color w:val="auto"/>
        </w:rPr>
        <w:t>$0</w:t>
      </w:r>
      <w:r>
        <w:rPr>
          <w:rFonts w:ascii="Times New Roman" w:cs="Times New Roman" w:eastAsia="Times New Roman" w:hAnsi="Times New Roman"/>
          <w:sz w:val="16"/>
          <w:szCs w:val="16"/>
          <w:color w:val="auto"/>
        </w:rPr>
        <w:t xml:space="preserve"> for the </w:t>
      </w:r>
      <w:r>
        <w:rPr>
          <w:rFonts w:ascii="Times New Roman" w:cs="Times New Roman" w:eastAsia="Times New Roman" w:hAnsi="Times New Roman"/>
          <w:sz w:val="17"/>
          <w:szCs w:val="17"/>
          <w:color w:val="auto"/>
        </w:rPr>
        <w:t>three</w:t>
      </w:r>
      <w:r>
        <w:rPr>
          <w:rFonts w:ascii="Times New Roman" w:cs="Times New Roman" w:eastAsia="Times New Roman" w:hAnsi="Times New Roman"/>
          <w:sz w:val="16"/>
          <w:szCs w:val="16"/>
          <w:color w:val="auto"/>
        </w:rPr>
        <w:t xml:space="preserve"> months ended </w:t>
      </w:r>
      <w:r>
        <w:rPr>
          <w:rFonts w:ascii="Times New Roman" w:cs="Times New Roman" w:eastAsia="Times New Roman" w:hAnsi="Times New Roman"/>
          <w:sz w:val="17"/>
          <w:szCs w:val="17"/>
          <w:color w:val="auto"/>
        </w:rPr>
        <w:t>March 31, 2026</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7"/>
          <w:szCs w:val="17"/>
          <w:color w:val="auto"/>
        </w:rPr>
        <w:t>2025.</w:t>
      </w:r>
      <w:r>
        <w:rPr>
          <w:rFonts w:ascii="Times New Roman" w:cs="Times New Roman" w:eastAsia="Times New Roman" w:hAnsi="Times New Roman"/>
          <w:sz w:val="16"/>
          <w:szCs w:val="16"/>
          <w:color w:val="auto"/>
        </w:rPr>
        <w:t xml:space="preserve"> respectively. See Note 15 - Subsequent Events, Dividend Declared.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Preferred Stock</w:t>
      </w:r>
    </w:p>
    <w:p>
      <w:pPr>
        <w:spacing w:after="0" w:line="23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Board of Directors has the authority to issue shares of Preferred Stock from time to time in a series and to fix, before the issuance of each series, the number of shares in each series and the designation, liquidation preferences, conversion privileges, rights and limitations of each series. There was no preferred stock issued as of March 31, 2026 and December 31,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2014 Equity Participation Plan</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Effective August 12, 2014, the Company's stockholders approved the 2014 Equity Participation Plan (the “2014 Plan”) pursuant to which a maximum of 700,000 shares of Common Stock of the Company were initially authorized to be issued pursuant to the grant of incentive stock options, non-statutory stock options, stock appreciation rights, restricted stock and stock bonuses. Incentive stock options granted under the 2014 Plan expire no later than ten years from the date of grant (except no later than five years for a grant to a 10% stockholder). Non-statutory stock options granted under the 2014 Plan expire no later than ten years from the date of grant. The Board of Directors or the Compensation Committee determined the vesting provisions for stock awards granted under the 2014 Plan, subject to the provisions of the 2014 Plan. On August 5, 2020, the Company’s stockholders approved amendments to the 2014 Plan, including an increase in the maximum number of shares of Common Stock of the Company that were authorized to be issued pursuant to the 2014 Plan to 1,400,000. On August 9, 2023, the Company’s stockholders approved an amendment to the 2014 Plan to increase the maximum number of shares of Common Stock of the Company that were authorized to be issued pursuant to the 2014 Plan to 1,900,000. The 2014 Plan terminated on August 12, 2024 and no further awards may be granted under the 2014 Plan.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2024 Equity Participation Plan</w:t>
      </w:r>
    </w:p>
    <w:p>
      <w:pPr>
        <w:spacing w:after="0" w:line="22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Effective August 7, 2024, the Company's stockholders approved the 2024 Equity Participation Plan (the “2024 Plan”) pursuant to which a maximum of 1,000,000 shares of Common Stock of the Company are authorized to be issued pursuant to the grant of incentive stock options, non-statutory stock options, stock appreciation rights, and stock bonus awards. Incentive stock options granted under the 2024</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Plan expire no later than ten years from the date of grant (except no later than five years for a grant to a 10% stockholder). Non-statutory stock options granted under the 2024 Plan expire no later than ten years from the date of grant. The Board of Directors or the Compensation Committee determines the vesting provisions for stock awards granted under the 2024 Plan, subject to the provisions of the 2024 Plan. The 2024 Plan terminates on May 10, 2034 and no further awards may be granted under the 2024 Plan after such date.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March 31, 2026, there were 320,242 shares of Common Stock granted under the 2024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Stock Options</w:t>
      </w:r>
    </w:p>
    <w:p>
      <w:pPr>
        <w:spacing w:after="0" w:line="22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results of operations for the three months ended March 31, 2026 and 2025 include stock-based compensation expense for stock options totaling approximately $8,000 and $22,000, respectively, which is included in other operating expenses on the accompanying condensed consolidated statements of operations and comprehensive (loss) income. Stock-based compensation expense related to stock options for the three months ended March 31, 2026 is net of estimated forfeitures of approximately 24%.</w:t>
      </w:r>
    </w:p>
    <w:p>
      <w:pPr>
        <w:spacing w:after="0" w:line="1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 xml:space="preserve">No options were granted during the three months ended March 31, 2026 and </w:t>
      </w:r>
      <w:r>
        <w:rPr>
          <w:rFonts w:ascii="Times New Roman" w:cs="Times New Roman" w:eastAsia="Times New Roman" w:hAnsi="Times New Roman"/>
          <w:sz w:val="17"/>
          <w:szCs w:val="17"/>
          <w:color w:val="auto"/>
        </w:rPr>
        <w:t>2025</w:t>
      </w:r>
      <w:r>
        <w:rPr>
          <w:rFonts w:ascii="Times New Roman" w:cs="Times New Roman" w:eastAsia="Times New Roman" w:hAnsi="Times New Roman"/>
          <w:sz w:val="16"/>
          <w:szCs w:val="16"/>
          <w:color w:val="auto"/>
        </w:rPr>
        <w:t>. The fair value of stock options at the grant date are estimated using the Black-Scholes option-pricing model. 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the Company’s stock options.</w:t>
      </w:r>
    </w:p>
    <w:p>
      <w:pPr>
        <w:spacing w:after="0" w:line="35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There have been no stock options granted under the 2024 Plan. A summary of stock option activity under the Company’s 2014 Plan for the three months ended March 31, 2026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Contractual Term in</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Aggregate Intrinsic</w:t>
            </w:r>
          </w:p>
        </w:tc>
      </w:tr>
      <w:tr>
        <w:trPr>
          <w:trHeight w:val="212"/>
        </w:trPr>
        <w:tc>
          <w:tcPr>
            <w:tcW w:w="5040" w:type="dxa"/>
            <w:vAlign w:val="bottom"/>
            <w:gridSpan w:val="2"/>
          </w:tcPr>
          <w:p>
            <w:pPr>
              <w:ind w:left="2000"/>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Price per Share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Years</w:t>
            </w:r>
          </w:p>
        </w:tc>
        <w:tc>
          <w:tcPr>
            <w:tcW w:w="320" w:type="dxa"/>
            <w:vAlign w:val="bottom"/>
          </w:tcPr>
          <w:p>
            <w:pPr>
              <w:spacing w:after="0"/>
              <w:rPr>
                <w:sz w:val="18"/>
                <w:szCs w:val="18"/>
                <w:color w:val="auto"/>
              </w:rPr>
            </w:pPr>
          </w:p>
        </w:tc>
        <w:tc>
          <w:tcPr>
            <w:tcW w:w="11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33"/>
        </w:trPr>
        <w:tc>
          <w:tcPr>
            <w:tcW w:w="4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6"/>
        </w:trPr>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January 1, 2026</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199,991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2,915,869</w:t>
            </w:r>
          </w:p>
        </w:tc>
      </w:tr>
      <w:tr>
        <w:trPr>
          <w:trHeight w:val="243"/>
        </w:trPr>
        <w:tc>
          <w:tcPr>
            <w:tcW w:w="4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23"/>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(32,918)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458,602</w:t>
            </w:r>
          </w:p>
        </w:tc>
      </w:tr>
      <w:tr>
        <w:trPr>
          <w:trHeight w:val="3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Expired/Forfeited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88,875</w:t>
            </w:r>
          </w:p>
        </w:tc>
      </w:tr>
      <w:tr>
        <w:trPr>
          <w:trHeight w:val="230"/>
        </w:trPr>
        <w:tc>
          <w:tcPr>
            <w:tcW w:w="4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68"/>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at March 31, 2026</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160,407</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1,976,214</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68"/>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and Exercisable at March 31, 2026</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84,603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1,042,309</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aggregate intrinsic value of options outstanding and options exercisable at March 31, 2026 is calculated as the difference between the exercise price of the underlying options and the market price of the Company’s Common Stock for the options that had exercise prices that were lower than the $14.57 closing price of the Company’s Common Stock on March 31, 2026. The total intrinsic value of options when forfeited are determined as of the date of forfeiture. The total intrinsic value of options when expired are determined as of the date of expiration.</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Participants in the 2014 Plan and the 2024 Plan may exercise their outstanding vested options, in whole or in part, by having the Company reduce the number of shares otherwise issuable by a number of shares having a fair market value equal to the exercise price of the option being exercised ("Net Exercise"), or by exchanging a number of shares owned for a period of greater than one year having a fair market value equal to the exercise price of the option being exercised ("Share Exchange").</w:t>
      </w:r>
    </w:p>
    <w:p>
      <w:pPr>
        <w:spacing w:after="0" w:line="1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received $41,249 from the exercise of 18,333 options during the three months ended March 31, 2026. The remaining options exercised during the three months ended March 31, 2026 were Net Exercises, resulting in the issuance of 12,530 shares of Common Stock.</w:t>
      </w:r>
    </w:p>
    <w:p>
      <w:pPr>
        <w:spacing w:after="0" w:line="19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As of March 31, 2026, the estimated fair value of unamortized compensation cost related to 75,804 unvested stock option awards was approximately $25,000. Unamortized compensation cost as of March 31, 2026 is expected to be recognized over a remaining weighted-average vesting period of 0.77 years.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Restricted Stock Awards</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19"/>
        </w:trPr>
        <w:tc>
          <w:tcPr>
            <w:tcW w:w="976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A summary of the restricted Common Stock activity under the 2024 Plan for the three months ended March 31, 2026 is as follows: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22"/>
        </w:trPr>
        <w:tc>
          <w:tcPr>
            <w:tcW w:w="16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9"/>
        </w:trPr>
        <w:tc>
          <w:tcPr>
            <w:tcW w:w="160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60" w:type="dxa"/>
            <w:vAlign w:val="bottom"/>
          </w:tcPr>
          <w:p>
            <w:pPr>
              <w:spacing w:after="0"/>
              <w:rPr>
                <w:sz w:val="16"/>
                <w:szCs w:val="16"/>
                <w:color w:val="auto"/>
              </w:rPr>
            </w:pPr>
          </w:p>
        </w:tc>
        <w:tc>
          <w:tcPr>
            <w:tcW w:w="13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Aggregate Fair</w:t>
            </w:r>
          </w:p>
        </w:tc>
      </w:tr>
      <w:tr>
        <w:trPr>
          <w:trHeight w:val="212"/>
        </w:trPr>
        <w:tc>
          <w:tcPr>
            <w:tcW w:w="1600" w:type="dxa"/>
            <w:vAlign w:val="bottom"/>
          </w:tcPr>
          <w:p>
            <w:pPr>
              <w:spacing w:after="0"/>
              <w:rPr>
                <w:sz w:val="18"/>
                <w:szCs w:val="18"/>
                <w:color w:val="auto"/>
              </w:rPr>
            </w:pPr>
          </w:p>
        </w:tc>
        <w:tc>
          <w:tcPr>
            <w:tcW w:w="5000" w:type="dxa"/>
            <w:vAlign w:val="bottom"/>
            <w:gridSpan w:val="2"/>
          </w:tcPr>
          <w:p>
            <w:pPr>
              <w:ind w:left="800"/>
              <w:spacing w:after="0"/>
              <w:rPr>
                <w:sz w:val="20"/>
                <w:szCs w:val="20"/>
                <w:color w:val="auto"/>
              </w:rPr>
            </w:pPr>
            <w:r>
              <w:rPr>
                <w:rFonts w:ascii="Times New Roman" w:cs="Times New Roman" w:eastAsia="Times New Roman" w:hAnsi="Times New Roman"/>
                <w:sz w:val="16"/>
                <w:szCs w:val="16"/>
                <w:b w:val="1"/>
                <w:bCs w:val="1"/>
                <w:color w:val="auto"/>
              </w:rPr>
              <w:t>Restricted Stock Awards</w:t>
            </w: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per Share</w:t>
            </w:r>
          </w:p>
        </w:tc>
        <w:tc>
          <w:tcPr>
            <w:tcW w:w="160" w:type="dxa"/>
            <w:vAlign w:val="bottom"/>
          </w:tcPr>
          <w:p>
            <w:pPr>
              <w:spacing w:after="0"/>
              <w:rPr>
                <w:sz w:val="18"/>
                <w:szCs w:val="18"/>
                <w:color w:val="auto"/>
              </w:rPr>
            </w:pPr>
          </w:p>
        </w:tc>
        <w:tc>
          <w:tcPr>
            <w:tcW w:w="132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33"/>
        </w:trPr>
        <w:tc>
          <w:tcPr>
            <w:tcW w:w="65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6"/>
        </w:trPr>
        <w:tc>
          <w:tcPr>
            <w:tcW w:w="16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23"/>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 2026</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223,288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3,427,471</w:t>
            </w:r>
          </w:p>
        </w:tc>
      </w:tr>
      <w:tr>
        <w:trPr>
          <w:trHeight w:val="243"/>
        </w:trPr>
        <w:tc>
          <w:tcPr>
            <w:tcW w:w="65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23"/>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63,469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1,068,183</w:t>
            </w:r>
          </w:p>
        </w:tc>
      </w:tr>
      <w:tr>
        <w:trPr>
          <w:trHeight w:val="210"/>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(74,571)</w:t>
            </w:r>
          </w:p>
        </w:tc>
        <w:tc>
          <w:tcPr>
            <w:tcW w:w="1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(1,167,036)</w:t>
            </w:r>
          </w:p>
        </w:tc>
      </w:tr>
      <w:tr>
        <w:trPr>
          <w:trHeight w:val="33"/>
        </w:trPr>
        <w:tc>
          <w:tcPr>
            <w:tcW w:w="65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160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r>
      <w:tr>
        <w:trPr>
          <w:trHeight w:val="268"/>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2026</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212,186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3,328,618</w:t>
            </w: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For the three months ended March 31, 2026 and 2025, stock-based compensation for these grants was approximately $637,000 and $308,000, respectively, which is included in other operating expenses on the accompanying condensed consolidated statements of operations and comprehensive (loss) income. These amounts reflect the Company’s accounting expense and do not correspond to the actual value that will be recognized by the directors, executives and employees. Unamortized compensation cost of $2,887,111 as of March 31, 2026 is expected to be recognized over a remaining weighted-average vesting period of 1.44 years.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Employee Stock Purchase Plan</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On June 19, 2021, the Company’s Board of Directors adopted the Kingstone Companies, Inc. Employee Stock Purchase Plan (the “ESPP”), subject to stockholder approval. Such approval was obtained on August 10, 2021. The purpose of the ESPP is to provide eligible employees of the Company with an opportunity to use payroll deductions to purchase shares of Common Stock of the Company. The maximum number of shares of Common Stock that may be purchased under the ESPP is 750,000, subject to adjustment as provided for in the ESPP. The ESPP was effective August 10, 2021 and expires on August 10, 2031. A maximum of 5,000 shares of Common Stock may be purchased by an employee during any offering period.</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The initial offering period under the ESPP was from November 1, 2021 through October 31, 2022. There was no offering pursuant to the ESPP from November 1, 2022 through December 31, 2024. Effective January 1, 2025, the Company initiated an offering period of January 1, 2025 through December 31, 2025 under the ESPP (the "2025 Offering"). Effective January 1, 2026, the Company initiated an offering period of January 1, 2026 through December 31, 2026 under the ESPP (the "2026 Offering'). For the three months ended March 31, 2026 and 2025, stock-based compensation under the 2026 Offering and 2025 Offering was approximately $9,000 for both periods, which is included in other operating expenses on the accompanying condensed consolidated statements of operations and comprehensive (loss) income.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Warrants</w:t>
      </w:r>
    </w:p>
    <w:p>
      <w:pPr>
        <w:spacing w:after="0" w:line="2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connection with the 2022 Exchange Agreement (see Note 7 – Debt – “2024 Notes”), as additional consideration, on December 15, 2022, the Company issued warrants (the "Warrants") to the 2022 exchanging note holders to purchase 969,525 shares of Common Stock at an exercise price of $1.00 per share, initially exercisable through December 30, 2025. Pursuant to the 2024 Exchange Agreement, the expiration date of the Warrants was extended to June 30, 2026 from December 30, 2025. As of December 31, 2025, all issued warrants were exercised. The fair value of the Warrants, using the Black-Scholes valuation formula, was $993,200, which was capitalized as a deferred financing cost of the 2022 Notes and the 2024 Notes. The fair value of the Warrants was amortized over the life of the Warrants, which was 36.5 months through September 12, 2024 and effective as of such date, the unamortized balance was being amortized over the extended life of the Warrants, which was 21.5 months.</w:t>
      </w:r>
    </w:p>
    <w:p>
      <w:pPr>
        <w:spacing w:after="0" w:line="19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Holders of the Warrants were entitled to exercise their outstanding Warrants in cash, or, in whole or in part, by having the Company reduce the number of shares otherwise issuable by a number of shares having a fair market value equal to the exercise price of the Warrants being exercised ("Net Exercise").</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accordance with ASC 815 - Derivatives and Hedging – Subsequent Measurement, the effect of a modification or an exchange shall be measured as the difference between the fair value of the modified or exchanged instrument and the fair value of that instrument</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immediately before it is modified or exchanged. The Company calculated the respective fair values and determined the difference was immaterial.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Shelf Registration</w:t>
      </w:r>
    </w:p>
    <w:p>
      <w:pPr>
        <w:spacing w:after="0" w:line="23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April 5, 2024, the Company filed a shelf registration statement on Form S-3 with the SEC under the Securities Act of 1933, as amended, with regard to the registration of $50,000,000 of its equity and debt securities (the “Shelf Registration Statement”). The Shelf Registration Statement was declared effective by the SEC on April 22, 2024. Any offering made pursuant to the Shelf Registration Statement may only be made by means of a prospectus, including a prospectus supplement, forming a part of the effective Shelf Registration Statement, relating to the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At-the-Market Offering</w:t>
      </w:r>
    </w:p>
    <w:p>
      <w:pPr>
        <w:spacing w:after="0" w:line="23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In May 2024, the Company entered into a Sales Agreement with Janney Montgomery Scott LLC (the “Sales Agent”) under which the Company initially had the ability to issue and sell shares of its Common Stock, from time to time, through the Sales Agent, pursuant to the Shelf Registration Statement, up to an aggregate offering price of approximately $16,400,000 in what is referred to as an “at-the-market” (“ATM”) program. On January 7, 2025, the Company filed a prospectus supplement providing for a going forward aggregate offering price for the ATM program of $25,000,000. During the three months ended March 31, 2026, the Company did not sell any shares of its Common Stock under the ATM program. As of March 31, 2026, the Company had remaining capacity to sell up to an additional $15,945,937 of Common Stock under the ATM program.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 Income Taxes</w:t>
      </w:r>
    </w:p>
    <w:p>
      <w:pPr>
        <w:spacing w:after="0" w:line="23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files a consolidated U.S. federal income tax return that includes all wholly-owned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consolidated financial statements taken as a whole for the respective periods.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Income Taxes Paid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three months ended March 31, 2026 and 2025, the Company did not pay any federal or state income taxes.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Deferred Tax Asset</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sheets reflect temporary differences between the carrying amounts of the assets and liabilities for financial reporting purposes and income tax purposes, tax effected at various rates depending on whether the temporary differences are subject to federal taxes, state taxes, or both.</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Significant components of the Company’s deferred tax assets and liabilities are as follows: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422"/>
        </w:trPr>
        <w:tc>
          <w:tcPr>
            <w:tcW w:w="7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00" w:type="dxa"/>
            <w:vAlign w:val="bottom"/>
          </w:tcPr>
          <w:p>
            <w:pPr>
              <w:spacing w:after="0"/>
              <w:rPr>
                <w:sz w:val="24"/>
                <w:szCs w:val="24"/>
                <w:color w:val="auto"/>
              </w:rPr>
            </w:pPr>
          </w:p>
        </w:tc>
        <w:tc>
          <w:tcPr>
            <w:tcW w:w="13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5"/>
        </w:trPr>
        <w:tc>
          <w:tcPr>
            <w:tcW w:w="7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45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Deferred tax asset:</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
        </w:trPr>
        <w:tc>
          <w:tcPr>
            <w:tcW w:w="7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8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operating loss (1)</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1,324,828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Claims reserve discount</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1,869,846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1,562,424</w:t>
            </w:r>
          </w:p>
        </w:tc>
      </w:tr>
      <w:tr>
        <w:trPr>
          <w:trHeight w:val="33"/>
        </w:trPr>
        <w:tc>
          <w:tcPr>
            <w:tcW w:w="7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8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Unearned premium</w:t>
            </w: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5,940,838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4,948,868</w:t>
            </w:r>
          </w:p>
        </w:tc>
      </w:tr>
      <w:tr>
        <w:trPr>
          <w:trHeight w:val="210"/>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Deferred ceding commission revenue</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591,873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1,756,131</w:t>
            </w:r>
          </w:p>
        </w:tc>
      </w:tr>
      <w:tr>
        <w:trPr>
          <w:trHeight w:val="33"/>
        </w:trPr>
        <w:tc>
          <w:tcPr>
            <w:tcW w:w="7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8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unrealized losses on securities</w:t>
            </w: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2,570,317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1,811,373</w:t>
            </w:r>
          </w:p>
        </w:tc>
      </w:tr>
      <w:tr>
        <w:trPr>
          <w:trHeight w:val="210"/>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846,136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916,350</w:t>
            </w:r>
          </w:p>
        </w:tc>
      </w:tr>
      <w:tr>
        <w:trPr>
          <w:trHeight w:val="33"/>
        </w:trPr>
        <w:tc>
          <w:tcPr>
            <w:tcW w:w="7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6"/>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13,143,838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10,995,146</w:t>
            </w:r>
          </w:p>
        </w:tc>
      </w:tr>
      <w:tr>
        <w:trPr>
          <w:trHeight w:val="237"/>
        </w:trPr>
        <w:tc>
          <w:tcPr>
            <w:tcW w:w="7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23"/>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liability:</w:t>
            </w: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10"/>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Investment in KICO (2)</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759,543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759,543</w:t>
            </w:r>
          </w:p>
        </w:tc>
      </w:tr>
      <w:tr>
        <w:trPr>
          <w:trHeight w:val="33"/>
        </w:trPr>
        <w:tc>
          <w:tcPr>
            <w:tcW w:w="7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8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policy acquisition costs</w:t>
            </w: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5,837,947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5,852,113</w:t>
            </w:r>
          </w:p>
        </w:tc>
      </w:tr>
      <w:tr>
        <w:trPr>
          <w:trHeight w:val="210"/>
        </w:trPr>
        <w:tc>
          <w:tcPr>
            <w:tcW w:w="80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Intangible assets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105,000</w:t>
            </w:r>
          </w:p>
        </w:tc>
      </w:tr>
      <w:tr>
        <w:trPr>
          <w:trHeight w:val="33"/>
        </w:trPr>
        <w:tc>
          <w:tcPr>
            <w:tcW w:w="7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80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98,931</w:t>
            </w:r>
          </w:p>
        </w:tc>
      </w:tr>
      <w:tr>
        <w:trPr>
          <w:trHeight w:val="204"/>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2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6,824,951</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6,815,587</w:t>
            </w:r>
          </w:p>
        </w:tc>
      </w:tr>
      <w:tr>
        <w:trPr>
          <w:trHeight w:val="33"/>
        </w:trPr>
        <w:tc>
          <w:tcPr>
            <w:tcW w:w="7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7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1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deferred income tax asset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6,318,887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4,179,559</w:t>
            </w:r>
          </w:p>
        </w:tc>
      </w:tr>
      <w:tr>
        <w:trPr>
          <w:trHeight w:val="33"/>
        </w:trPr>
        <w:tc>
          <w:tcPr>
            <w:tcW w:w="7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
        </w:trPr>
        <w:tc>
          <w:tcPr>
            <w:tcW w:w="7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2040" w:right="260" w:hanging="979"/>
        <w:spacing w:after="0" w:line="298" w:lineRule="auto"/>
        <w:tabs>
          <w:tab w:leader="none" w:pos="20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deferred tax assets from federal current year net operating loss ("NOL"), and state current year and prior years NOL carryovers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00" w:type="dxa"/>
            <w:vAlign w:val="bottom"/>
          </w:tcPr>
          <w:p>
            <w:pPr>
              <w:spacing w:after="0"/>
              <w:rPr>
                <w:sz w:val="16"/>
                <w:szCs w:val="16"/>
                <w:color w:val="auto"/>
              </w:rPr>
            </w:pPr>
          </w:p>
        </w:tc>
        <w:tc>
          <w:tcPr>
            <w:tcW w:w="13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239"/>
        </w:trPr>
        <w:tc>
          <w:tcPr>
            <w:tcW w:w="5400" w:type="dxa"/>
            <w:vAlign w:val="bottom"/>
            <w:gridSpan w:val="2"/>
          </w:tcPr>
          <w:p>
            <w:pPr>
              <w:ind w:left="2200"/>
              <w:spacing w:after="0"/>
              <w:rPr>
                <w:sz w:val="20"/>
                <w:szCs w:val="20"/>
                <w:color w:val="auto"/>
              </w:rPr>
            </w:pPr>
            <w:r>
              <w:rPr>
                <w:rFonts w:ascii="Times New Roman" w:cs="Times New Roman" w:eastAsia="Times New Roman" w:hAnsi="Times New Roman"/>
                <w:sz w:val="16"/>
                <w:szCs w:val="16"/>
                <w:b w:val="1"/>
                <w:bCs w:val="1"/>
                <w:color w:val="auto"/>
              </w:rPr>
              <w:t>Type of NOL</w:t>
            </w:r>
          </w:p>
        </w:tc>
        <w:tc>
          <w:tcPr>
            <w:tcW w:w="260" w:type="dxa"/>
            <w:vAlign w:val="bottom"/>
          </w:tcPr>
          <w:p>
            <w:pPr>
              <w:spacing w:after="0"/>
              <w:rPr>
                <w:sz w:val="20"/>
                <w:szCs w:val="20"/>
                <w:color w:val="auto"/>
              </w:rPr>
            </w:pPr>
          </w:p>
        </w:tc>
        <w:tc>
          <w:tcPr>
            <w:tcW w:w="12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w:t>
            </w:r>
          </w:p>
        </w:tc>
      </w:tr>
      <w:tr>
        <w:trPr>
          <w:trHeight w:val="256"/>
        </w:trPr>
        <w:tc>
          <w:tcPr>
            <w:tcW w:w="5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540" w:type="dxa"/>
            <w:vAlign w:val="bottom"/>
            <w:tcBorders>
              <w:top w:val="single" w:sz="8" w:color="auto"/>
            </w:tcBorders>
          </w:tcPr>
          <w:p>
            <w:pPr>
              <w:spacing w:after="0"/>
              <w:rPr>
                <w:sz w:val="22"/>
                <w:szCs w:val="22"/>
                <w:color w:val="auto"/>
              </w:rPr>
            </w:pPr>
          </w:p>
        </w:tc>
      </w:tr>
      <w:tr>
        <w:trPr>
          <w:trHeight w:val="243"/>
        </w:trPr>
        <w:tc>
          <w:tcPr>
            <w:tcW w:w="54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Federal only, current year</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1,324,828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r>
      <w:tr>
        <w:trPr>
          <w:trHeight w:val="250"/>
        </w:trPr>
        <w:tc>
          <w:tcPr>
            <w:tcW w:w="5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540" w:type="dxa"/>
            <w:vAlign w:val="bottom"/>
          </w:tcPr>
          <w:p>
            <w:pPr>
              <w:spacing w:after="0"/>
              <w:rPr>
                <w:sz w:val="21"/>
                <w:szCs w:val="21"/>
                <w:color w:val="auto"/>
              </w:rPr>
            </w:pPr>
          </w:p>
        </w:tc>
      </w:tr>
      <w:tr>
        <w:trPr>
          <w:trHeight w:val="223"/>
        </w:trPr>
        <w:tc>
          <w:tcPr>
            <w:tcW w:w="5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State only (A)</w:t>
            </w: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3,484,099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3,421,252</w:t>
            </w:r>
          </w:p>
        </w:tc>
        <w:tc>
          <w:tcPr>
            <w:tcW w:w="80" w:type="dxa"/>
            <w:vAlign w:val="bottom"/>
            <w:tcBorders>
              <w:bottom w:val="single" w:sz="8" w:color="CCEEFF"/>
            </w:tcBorders>
            <w:shd w:val="clear" w:color="auto" w:fill="CCEEFF"/>
          </w:tcPr>
          <w:p>
            <w:pPr>
              <w:spacing w:after="0"/>
              <w:rPr>
                <w:sz w:val="19"/>
                <w:szCs w:val="19"/>
                <w:color w:val="auto"/>
              </w:rPr>
            </w:pPr>
          </w:p>
        </w:tc>
        <w:tc>
          <w:tcPr>
            <w:tcW w:w="2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2027 - December 2045</w:t>
            </w:r>
          </w:p>
        </w:tc>
      </w:tr>
      <w:tr>
        <w:trPr>
          <w:trHeight w:val="210"/>
        </w:trPr>
        <w:tc>
          <w:tcPr>
            <w:tcW w:w="5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Valuation allowance</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(3,484,099)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(3,421,252)</w:t>
            </w:r>
          </w:p>
        </w:tc>
        <w:tc>
          <w:tcPr>
            <w:tcW w:w="8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33"/>
        </w:trPr>
        <w:tc>
          <w:tcPr>
            <w:tcW w:w="5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r>
      <w:tr>
        <w:trPr>
          <w:trHeight w:val="236"/>
        </w:trPr>
        <w:tc>
          <w:tcPr>
            <w:tcW w:w="5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State only, net of valuation allowance</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CCEEFF"/>
            </w:tcBorders>
            <w:shd w:val="clear" w:color="auto" w:fill="CCEEFF"/>
          </w:tcPr>
          <w:p>
            <w:pPr>
              <w:spacing w:after="0"/>
              <w:rPr>
                <w:sz w:val="20"/>
                <w:szCs w:val="20"/>
                <w:color w:val="auto"/>
              </w:rPr>
            </w:pPr>
          </w:p>
        </w:tc>
      </w:tr>
      <w:tr>
        <w:trPr>
          <w:trHeight w:val="250"/>
        </w:trPr>
        <w:tc>
          <w:tcPr>
            <w:tcW w:w="5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540" w:type="dxa"/>
            <w:vAlign w:val="bottom"/>
          </w:tcPr>
          <w:p>
            <w:pPr>
              <w:spacing w:after="0"/>
              <w:rPr>
                <w:sz w:val="21"/>
                <w:szCs w:val="21"/>
                <w:color w:val="auto"/>
              </w:rPr>
            </w:pPr>
          </w:p>
        </w:tc>
      </w:tr>
      <w:tr>
        <w:trPr>
          <w:trHeight w:val="268"/>
        </w:trPr>
        <w:tc>
          <w:tcPr>
            <w:tcW w:w="54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 deferred tax asset from net operating loss carryovers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1,324,828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540" w:type="dxa"/>
            <w:vAlign w:val="bottom"/>
            <w:tcBorders>
              <w:bottom w:val="single" w:sz="8" w:color="CCEEFF"/>
            </w:tcBorders>
            <w:shd w:val="clear" w:color="auto" w:fill="CCEEFF"/>
          </w:tcPr>
          <w:p>
            <w:pPr>
              <w:spacing w:after="0"/>
              <w:rPr>
                <w:sz w:val="22"/>
                <w:szCs w:val="22"/>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r>
    </w:tbl>
    <w:p>
      <w:pPr>
        <w:spacing w:after="0" w:line="297" w:lineRule="exact"/>
        <w:rPr>
          <w:sz w:val="20"/>
          <w:szCs w:val="20"/>
          <w:color w:val="auto"/>
        </w:rPr>
      </w:pPr>
    </w:p>
    <w:p>
      <w:pPr>
        <w:jc w:val="both"/>
        <w:ind w:left="1380" w:hanging="319"/>
        <w:spacing w:after="0" w:line="259" w:lineRule="auto"/>
        <w:tabs>
          <w:tab w:leader="none" w:pos="1375"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Kingstone generates operating losses for state purposes and has prior year NOLs available. The state NOL as of March 31, 2026 and December 31, 2025 was $53,601,524 and $52,634,646, respectively. KICO, the Company’s insurance underwriting subsidiary, is not subject to state income taxes. KICO’s state tax obligations are paid through a gross premiums tax, which is included in the condensed consolidated statements of income and comprehensive income within other underwriting expenses. Kingstone has recorded a full valuation allowance due to the uncertainty of generating enough state taxable income to utilize 100% of the available state NOLs over their remaining lives, which expire between 2027 and 2045.</w:t>
      </w:r>
    </w:p>
    <w:p>
      <w:pPr>
        <w:spacing w:after="0" w:line="195" w:lineRule="exact"/>
        <w:rPr>
          <w:sz w:val="20"/>
          <w:szCs w:val="20"/>
          <w:color w:val="auto"/>
        </w:rPr>
      </w:pPr>
    </w:p>
    <w:p>
      <w:pPr>
        <w:ind w:left="1060"/>
        <w:spacing w:after="0"/>
        <w:tabs>
          <w:tab w:leader="none" w:pos="1360" w:val="left"/>
        </w:tabs>
        <w:rPr>
          <w:sz w:val="20"/>
          <w:szCs w:val="20"/>
          <w:color w:val="auto"/>
        </w:rPr>
      </w:pPr>
      <w:r>
        <w:rPr>
          <w:rFonts w:ascii="Times New Roman" w:cs="Times New Roman" w:eastAsia="Times New Roman" w:hAnsi="Times New Roman"/>
          <w:sz w:val="16"/>
          <w:szCs w:val="16"/>
          <w:color w:val="auto"/>
        </w:rPr>
        <w:t>(2)</w:t>
        <w:tab/>
        <w:t>Deferred tax liability – Investment in KICO</w:t>
      </w:r>
    </w:p>
    <w:p>
      <w:pPr>
        <w:spacing w:after="0" w:line="221" w:lineRule="exact"/>
        <w:rPr>
          <w:sz w:val="20"/>
          <w:szCs w:val="20"/>
          <w:color w:val="auto"/>
        </w:rPr>
      </w:pPr>
    </w:p>
    <w:p>
      <w:pPr>
        <w:jc w:val="both"/>
        <w:ind w:left="1040"/>
        <w:spacing w:after="0" w:line="263" w:lineRule="auto"/>
        <w:rPr>
          <w:sz w:val="20"/>
          <w:szCs w:val="20"/>
          <w:color w:val="auto"/>
        </w:rPr>
      </w:pPr>
      <w:r>
        <w:rPr>
          <w:rFonts w:ascii="Times New Roman" w:cs="Times New Roman" w:eastAsia="Times New Roman" w:hAnsi="Times New Roman"/>
          <w:sz w:val="16"/>
          <w:szCs w:val="16"/>
          <w:color w:val="auto"/>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1040"/>
        <w:spacing w:after="0" w:line="263" w:lineRule="auto"/>
        <w:rPr>
          <w:sz w:val="20"/>
          <w:szCs w:val="20"/>
          <w:color w:val="auto"/>
        </w:rPr>
      </w:pPr>
      <w:r>
        <w:rPr>
          <w:rFonts w:ascii="Times New Roman" w:cs="Times New Roman" w:eastAsia="Times New Roman" w:hAnsi="Times New Roman"/>
          <w:sz w:val="16"/>
          <w:szCs w:val="16"/>
          <w:color w:val="auto"/>
        </w:rPr>
        <w:t>accretion of the discount on the original purchase of the surplus notes totaled $2,921,319 (together “Untaxed Interest”). As of the date of acquisition, the deferred tax liability on the Untaxed Interest was $1,169,000. A temporary difference with an indefinite life exists when the parent has a lower carrying value of its subsidiary for income tax purposes. The deferred tax liability was reduced to $759,543 upon the reduction of federal income tax rates as of December 31, 2017. The Company is required to maintain its deferred tax liability of $759,543 related to this temporary difference until the stock of KICO is sold, or the assets of KICO are sold or KICO and the parent are merged.</w:t>
      </w:r>
    </w:p>
    <w:p>
      <w:pPr>
        <w:spacing w:after="0" w:line="18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9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had no material unrecognized tax benefit and no adjustments to liabilities or operations were required. There were no interest or penalties related to income taxes that have been accrued or recognized as of and for the three months ended March 31, 2026 and 2025. If any had been recognized these would have been reported in income tax expense.</w:t>
      </w:r>
    </w:p>
    <w:p>
      <w:pPr>
        <w:spacing w:after="0" w:line="19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Generally, taxing authorities may examine the Company’s tax returns for the three years from the date of filing. The Company’s tax returns for the years ended December 31, 2021 through December 31, 2025 remain subject to examination.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 Earnings Per Common Share</w:t>
      </w:r>
    </w:p>
    <w:p>
      <w:pPr>
        <w:spacing w:after="0" w:line="2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 xml:space="preserve">Basic net (loss) earnings per common share is computed by dividing net (loss) income by the weighted-average number of shares of Common Stock outstanding. Diluted earnings per common share reflects, in periods in which it has a dilutive effect, the impact of shares of Common Stock issuable upon exercise of stock options and warrants as well as non-vested restricted stock awards. The computation of diluted earnings per common share excludes those options and warrants with an exercise price in excess of the average market price of the Company’s Common Stock during the periods presented. For the three months ended March 31, 2026 and 2025, there were no options with an exercise price in excess of the average market price of the Company’s Common Stock during the periods. For the </w:t>
      </w:r>
      <w:r>
        <w:rPr>
          <w:rFonts w:ascii="Times New Roman" w:cs="Times New Roman" w:eastAsia="Times New Roman" w:hAnsi="Times New Roman"/>
          <w:sz w:val="17"/>
          <w:szCs w:val="17"/>
          <w:color w:val="auto"/>
        </w:rPr>
        <w:t>three</w:t>
      </w:r>
      <w:r>
        <w:rPr>
          <w:rFonts w:ascii="Times New Roman" w:cs="Times New Roman" w:eastAsia="Times New Roman" w:hAnsi="Times New Roman"/>
          <w:sz w:val="16"/>
          <w:szCs w:val="16"/>
          <w:color w:val="auto"/>
        </w:rPr>
        <w:t xml:space="preserve"> months ended </w:t>
      </w:r>
      <w:r>
        <w:rPr>
          <w:rFonts w:ascii="Times New Roman" w:cs="Times New Roman" w:eastAsia="Times New Roman" w:hAnsi="Times New Roman"/>
          <w:sz w:val="17"/>
          <w:szCs w:val="17"/>
          <w:color w:val="auto"/>
        </w:rPr>
        <w:t>March 31, 2025</w:t>
      </w:r>
      <w:r>
        <w:rPr>
          <w:rFonts w:ascii="Times New Roman" w:cs="Times New Roman" w:eastAsia="Times New Roman" w:hAnsi="Times New Roman"/>
          <w:sz w:val="16"/>
          <w:szCs w:val="16"/>
          <w:color w:val="auto"/>
        </w:rPr>
        <w:t>, there were no warrants with an exercise price in excess of the average market price of the Company’s Common Stock during the periods.</w:t>
      </w:r>
    </w:p>
    <w:p>
      <w:pPr>
        <w:spacing w:after="0" w:line="19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 xml:space="preserve">The computation of diluted earnings per common share excludes outstanding options, warrants and non-vested restricted stock awards in periods where the exercise of such options and warrants or vesting of such restricted stock awards would be anti-dilutive. For the three months ended March 31, 2026 and 2025, there were 161,834 </w:t>
      </w:r>
      <w:r>
        <w:rPr>
          <w:rFonts w:ascii="Times New Roman" w:cs="Times New Roman" w:eastAsia="Times New Roman" w:hAnsi="Times New Roman"/>
          <w:sz w:val="17"/>
          <w:szCs w:val="17"/>
          <w:color w:val="auto"/>
        </w:rPr>
        <w:t>and -0-,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 xml:space="preserve">respectively, </w:t>
      </w:r>
      <w:r>
        <w:rPr>
          <w:rFonts w:ascii="Times New Roman" w:cs="Times New Roman" w:eastAsia="Times New Roman" w:hAnsi="Times New Roman"/>
          <w:sz w:val="16"/>
          <w:szCs w:val="16"/>
          <w:color w:val="auto"/>
        </w:rPr>
        <w:t>options, warrants and restricted stock awards that were anti-dilutive for the relevant periods.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reconciliation of the weighted average number of shares of Common Stock used in the calculation of basic and diluted earnings per common share follows:</w:t>
      </w:r>
    </w:p>
    <w:p>
      <w:pPr>
        <w:spacing w:after="0" w:line="273" w:lineRule="exact"/>
        <w:rPr>
          <w:sz w:val="20"/>
          <w:szCs w:val="20"/>
          <w:color w:val="auto"/>
        </w:rPr>
      </w:pPr>
    </w:p>
    <w:p>
      <w:pPr>
        <w:jc w:val="center"/>
        <w:ind w:left="19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12" w:lineRule="exact"/>
        <w:rPr>
          <w:sz w:val="20"/>
          <w:szCs w:val="20"/>
          <w:color w:val="auto"/>
        </w:rPr>
      </w:pPr>
    </w:p>
    <w:p>
      <w:pPr>
        <w:jc w:val="center"/>
        <w:ind w:left="19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26035</wp:posOffset>
            </wp:positionV>
            <wp:extent cx="19456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3" w:lineRule="exact"/>
        <w:rPr>
          <w:sz w:val="20"/>
          <w:szCs w:val="20"/>
          <w:color w:val="auto"/>
        </w:rPr>
      </w:pPr>
    </w:p>
    <w:p>
      <w:pPr>
        <w:ind w:left="5660"/>
        <w:spacing w:after="0"/>
        <w:tabs>
          <w:tab w:leader="none" w:pos="7220" w:val="left"/>
        </w:tabs>
        <w:rPr>
          <w:sz w:val="20"/>
          <w:szCs w:val="20"/>
          <w:color w:val="auto"/>
        </w:rPr>
      </w:pPr>
      <w:r>
        <w:rPr>
          <w:rFonts w:ascii="Times New Roman" w:cs="Times New Roman" w:eastAsia="Times New Roman" w:hAnsi="Times New Roman"/>
          <w:sz w:val="16"/>
          <w:szCs w:val="16"/>
          <w:b w:val="1"/>
          <w:bCs w:val="1"/>
          <w:color w:val="auto"/>
        </w:rPr>
        <w:t>2026</w:t>
      </w:r>
      <w:r>
        <w:rPr>
          <w:sz w:val="20"/>
          <w:szCs w:val="20"/>
          <w:color w:val="auto"/>
        </w:rPr>
        <w:tab/>
      </w:r>
      <w:r>
        <w:rPr>
          <w:rFonts w:ascii="Times New Roman" w:cs="Times New Roman" w:eastAsia="Times New Roman" w:hAnsi="Times New Roman"/>
          <w:sz w:val="16"/>
          <w:szCs w:val="16"/>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38735</wp:posOffset>
            </wp:positionV>
            <wp:extent cx="19456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number of shares outstanding</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14,453,747</w:t>
            </w: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13,472,404</w:t>
            </w:r>
          </w:p>
        </w:tc>
        <w:tc>
          <w:tcPr>
            <w:tcW w:w="0" w:type="dxa"/>
            <w:vAlign w:val="bottom"/>
          </w:tcPr>
          <w:p>
            <w:pPr>
              <w:spacing w:after="0"/>
              <w:rPr>
                <w:sz w:val="1"/>
                <w:szCs w:val="1"/>
                <w:color w:val="auto"/>
              </w:rPr>
            </w:pPr>
          </w:p>
        </w:tc>
      </w:tr>
      <w:tr>
        <w:trPr>
          <w:trHeight w:val="243"/>
        </w:trPr>
        <w:tc>
          <w:tcPr>
            <w:tcW w:w="50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 common share equivalents:</w:t>
            </w:r>
          </w:p>
        </w:tc>
        <w:tc>
          <w:tcPr>
            <w:tcW w:w="14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options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188,679</w:t>
            </w: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Warrants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583,567</w:t>
            </w:r>
          </w:p>
        </w:tc>
        <w:tc>
          <w:tcPr>
            <w:tcW w:w="0" w:type="dxa"/>
            <w:vAlign w:val="bottom"/>
          </w:tcPr>
          <w:p>
            <w:pPr>
              <w:spacing w:after="0"/>
              <w:rPr>
                <w:sz w:val="1"/>
                <w:szCs w:val="1"/>
                <w:color w:val="auto"/>
              </w:rPr>
            </w:pPr>
          </w:p>
        </w:tc>
      </w:tr>
      <w:tr>
        <w:trPr>
          <w:trHeight w:val="210"/>
        </w:trPr>
        <w:tc>
          <w:tcPr>
            <w:tcW w:w="5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stock awards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27,852</w:t>
            </w:r>
          </w:p>
        </w:tc>
        <w:tc>
          <w:tcPr>
            <w:tcW w:w="0" w:type="dxa"/>
            <w:vAlign w:val="bottom"/>
          </w:tcPr>
          <w:p>
            <w:pPr>
              <w:spacing w:after="0"/>
              <w:rPr>
                <w:sz w:val="1"/>
                <w:szCs w:val="1"/>
                <w:color w:val="auto"/>
              </w:rPr>
            </w:pPr>
          </w:p>
        </w:tc>
      </w:tr>
      <w:tr>
        <w:trPr>
          <w:trHeight w:val="33"/>
        </w:trPr>
        <w:tc>
          <w:tcPr>
            <w:tcW w:w="50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Weighted average number of shares outstanding, used for computing diluted</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14,453,747</w:t>
            </w:r>
          </w:p>
        </w:tc>
        <w:tc>
          <w:tcPr>
            <w:tcW w:w="8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14,272,502</w:t>
            </w:r>
          </w:p>
        </w:tc>
        <w:tc>
          <w:tcPr>
            <w:tcW w:w="0" w:type="dxa"/>
            <w:vAlign w:val="bottom"/>
          </w:tcPr>
          <w:p>
            <w:pPr>
              <w:spacing w:after="0"/>
              <w:rPr>
                <w:sz w:val="1"/>
                <w:szCs w:val="1"/>
                <w:color w:val="auto"/>
              </w:rPr>
            </w:pPr>
          </w:p>
        </w:tc>
      </w:tr>
      <w:tr>
        <w:trPr>
          <w:trHeight w:val="218"/>
        </w:trPr>
        <w:tc>
          <w:tcPr>
            <w:tcW w:w="5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earnings per share</w:t>
            </w:r>
          </w:p>
        </w:tc>
        <w:tc>
          <w:tcPr>
            <w:tcW w:w="14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 Commitments and Contingencies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Litigation</w:t>
      </w:r>
    </w:p>
    <w:p>
      <w:pPr>
        <w:spacing w:after="0" w:line="221"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From time to time, the Company is involved in various legal proceedings in the ordinary course of business. For example, to the extent a claim is asserted by a third party in a lawsuit against one of the Company’s insureds covered by a particular policy, the Company may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have a duty to defend the insured party against the claim. These claims may relate to bodily injury, property damage or other compensable injuries as set forth in the policy.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Such proceedings are considered in estimating the liability for loss and LAE expenses.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Office Lease</w:t>
      </w:r>
    </w:p>
    <w:p>
      <w:pPr>
        <w:spacing w:after="0" w:line="24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Company enters into lease agreements for real estate that is primarily used for office space in the ordinary course of business. These leases are accounted for as operating leases, whereby lease expense is recognized on a straight-line basis over the term of the lease.</w:t>
      </w:r>
    </w:p>
    <w:p>
      <w:pPr>
        <w:spacing w:after="0" w:line="1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On February 10, 2025, KICO entered into a lease agreement for an office facility located in Kingston, New York under an operating lease. The lease commenced on March 1, 2025 (the "Commencement Date") and will expire on March 31, 2030. KICO has the option to renew the lease for an additional term of five years. KICO may terminate the lease anytime following the third anniversary of the Commencement Date if its insurance business is sold or substantially all of the Company's assets are sold. Base rent over the term of the lease is $269,777 plus a proportionate share of taxes, common area maintenance costs and insurance.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 information regarding the Company’s office operating leases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5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Lease cost</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52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31"/>
        </w:trPr>
        <w:tc>
          <w:tcPr>
            <w:tcW w:w="5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13,391</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4,464</w:t>
            </w:r>
          </w:p>
        </w:tc>
        <w:tc>
          <w:tcPr>
            <w:tcW w:w="0" w:type="dxa"/>
            <w:vAlign w:val="bottom"/>
          </w:tcPr>
          <w:p>
            <w:pPr>
              <w:spacing w:after="0"/>
              <w:rPr>
                <w:sz w:val="1"/>
                <w:szCs w:val="1"/>
                <w:color w:val="auto"/>
              </w:rPr>
            </w:pPr>
          </w:p>
        </w:tc>
      </w:tr>
      <w:tr>
        <w:trPr>
          <w:trHeight w:val="204"/>
        </w:trPr>
        <w:tc>
          <w:tcPr>
            <w:tcW w:w="5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lease cost</w:t>
            </w: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13,391</w:t>
            </w:r>
          </w:p>
        </w:tc>
        <w:tc>
          <w:tcPr>
            <w:tcW w:w="80" w:type="dxa"/>
            <w:vAlign w:val="bottom"/>
          </w:tcPr>
          <w:p>
            <w:pPr>
              <w:spacing w:after="0"/>
              <w:rPr>
                <w:sz w:val="17"/>
                <w:szCs w:val="17"/>
                <w:color w:val="auto"/>
              </w:rPr>
            </w:pPr>
          </w:p>
        </w:tc>
        <w:tc>
          <w:tcPr>
            <w:tcW w:w="4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4,464</w:t>
            </w: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information on operating leases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payments included in the measurement of lease liability reported in</w:t>
            </w: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12,545</w:t>
            </w:r>
          </w:p>
        </w:tc>
        <w:tc>
          <w:tcPr>
            <w:tcW w:w="80" w:type="dxa"/>
            <w:vAlign w:val="bottom"/>
            <w:shd w:val="clear" w:color="auto" w:fill="CCEEFF"/>
          </w:tcPr>
          <w:p>
            <w:pPr>
              <w:spacing w:after="0"/>
              <w:rPr>
                <w:sz w:val="16"/>
                <w:szCs w:val="16"/>
                <w:color w:val="auto"/>
              </w:rPr>
            </w:pPr>
          </w:p>
        </w:tc>
        <w:tc>
          <w:tcPr>
            <w:tcW w:w="440" w:type="dxa"/>
            <w:vAlign w:val="bottom"/>
            <w:vMerge w:val="restart"/>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4,085</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cash flows</w:t>
            </w:r>
          </w:p>
        </w:tc>
        <w:tc>
          <w:tcPr>
            <w:tcW w:w="34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Remaining lease term in years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0" w:type="dxa"/>
            <w:vAlign w:val="bottom"/>
          </w:tcPr>
          <w:p>
            <w:pPr>
              <w:spacing w:after="0"/>
              <w:rPr>
                <w:sz w:val="1"/>
                <w:szCs w:val="1"/>
                <w:color w:val="auto"/>
              </w:rPr>
            </w:pPr>
          </w:p>
        </w:tc>
      </w:tr>
      <w:tr>
        <w:trPr>
          <w:trHeight w:val="33"/>
        </w:trPr>
        <w:tc>
          <w:tcPr>
            <w:tcW w:w="5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Operating lease right-of-use assets, included in other assets, were $128,036 and $136,209 as of March 31, 2026 and December 31, 2025, respectively. Operating lease right-of-use liabilities, included in accounts payable, accrued expenses and other liabilities, were $128,036 and $136,209 as of March 31, 2026 and December 31, 2025, respectively.</w:t>
      </w:r>
    </w:p>
    <w:p>
      <w:pPr>
        <w:spacing w:after="0" w:line="322"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Rent expense for the three months ended March 31, 2026 and 2025 amounted to $13,391 and $4,464, respectively, and is included in the accompanying condensed consolidated statements of operations and comprehensive (loss) income within other underwriting expenses.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Employment Agreements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Meryl Golden, President and Chief Executive Officer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Employment Agreement effective as of January 1, 2025</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On April 15, 2024, the Company and Ms. Golden entered into a third amended and restated employment agreement (the “Third Amended Golden Employment Agreement”). The Third Amended Golden Employment Agreement was effective as of January 1, 2025 and extends the expiration date of Ms. Golden's previous employment agreement ("the Second Amended Golden Employment Agreement") from December 31, 2024 to January 10, 2027. Pursuant to the Third Amended Golden Employment Agreement, Ms. Golden is entitled to receive an annual base salary of $550,000 (increased from $500,000 previously in effect) and an annual bonus equal to 3% of the Company’s consolidated income from operations before taxes, exclusive of the Company’s consolidated net investment income (loss), net unrealized gains (losses) on equity securities and net realized gains (losses) on investments, up to a maximum of 1.25 times her base annual salary (the same as previously in effect). Pursuant to the Third Amended Golden Employment Agreement (and as was provided for in the Second Amended Golden Employment Agreement), in the event that Ms. Golden’s employment is terminated by the Company without cause or she resigns for good reason (each as defined in the Third Amended Golden Employment Agreement), Ms. Golden would be entitled to receive her base salary and the 3% bonus for the remainder of the term. Ms. Golden would be entitled, under certain circumstances, to a payment equal to 1.5 times her then annual salary and her accrued bonus in the event of the termination of her employment following a change of control of the Company (also as is provided for in the Second Amended Golden Employment Agreement). Pursuant to the Third Amended Golden Employment Agreement, Ms. Golden received during each of January 2025 and January 2026 a grant of 40,000 shares of restricted stock. The 2025 grant vested with respect to one-half of the award on the first anniversary of the grant date and will become vested with respect to one-half of the award on December 31, 2026. The 2026 grant will become vested on the first anniversary of the grant date.</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 15 - Subsequent Events, Employment Agreement.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Randy Patten, Chief Financial Officer, Vice President and Treasurer</w:t>
      </w:r>
    </w:p>
    <w:p>
      <w:pPr>
        <w:spacing w:after="0" w:line="2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On July 23, 2025, the Company and Randy Patten entered into an employment agreement (the “Patten Employment Agreement”) pursuant to which Mr. Patten serves as the Company’s Chief Financial Officer, Vice President and Treasurer. Mr. Patten also serves as KICO’s Chief Financial Officer, Vice President and Treasurer. The Patten Employment Agreement was effective as of August 25, 2025 (the "Effective Date") and will expire on August 25, 2028 (the "Expiration Date"). The term of the Patten Employment Agreement shall automatically be extended for one year periods beyond the Expiration Date unless either party provides written notice to the other party, no later than four months preceding the Expiration Date (or the end of the term, if extended), of its or his desire that the term not be extended.</w:t>
      </w:r>
    </w:p>
    <w:p>
      <w:pPr>
        <w:spacing w:after="0" w:line="19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Pursuant to the Patten Employment Agreement, Mr. Patten is entitled to receive an annual base salary of $400,000 and shall participate in the Company's Bonus Plan, including with respect to the SLT RSA bonus, each as described in Note 12 – Employee Benefit Plans, Bonus Plans, Employee Bonus Plan. In accordance with the Bonus Plan, Mr. Patten's cash bonus target is 25% of his base salary, and in no event, could the cash bonus for the calendar year ended December 31, 2025 be less than $35,000.</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September 12, 2025, the Company paid to Mr. Patten a sign-on bonus of $200,000 (the “Sign-on Bonus”). In the event that, prior to the first anniversary of the Effective Date, Mr. Patten's employment with the Company is terminated by the Company for cause (as defined in the Patten Employment Agreement) or by Mr. Patten without good reason (as defined in the Patten Employment Agreement), Mr. Patten would be obligated to promptly repay the Sign-on Bonus to the Company. At its option, the Company shall have the right to offset such Sign-on Bonus repayment obligation against any and all amounts payable to Mr. Patten.</w:t>
      </w:r>
    </w:p>
    <w:p>
      <w:pPr>
        <w:spacing w:after="0" w:line="17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Pursuant to the Patten Employment Agreement, Mr. Patten was entitled to receive a restricted stock grant of a number of shares of Common Stock determined by dividing $600,000 by the fair market value of the Company’s Common Stock on the date of grant. On the Effective Date, Mr. Patten was granted 43,290 shares of restricted stock pursuant to this provision. Such stock grant will become vested with respect to 25% of the award on each of the first and second anniversaries of the grant date and 50% on the third anniversary of the grant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 Employee Benefit Plans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Bonus Plans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Employee Bonus Plan</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 xml:space="preserve">For the three months ended March 31, 2026 and 2025, the Company accrued approximately $0 and $123,932, respectively, of cash payments related to an employee bonus plan (the "Bonus Plan"), of which </w:t>
      </w:r>
      <w:r>
        <w:rPr>
          <w:rFonts w:ascii="Times New Roman" w:cs="Times New Roman" w:eastAsia="Times New Roman" w:hAnsi="Times New Roman"/>
          <w:sz w:val="17"/>
          <w:szCs w:val="17"/>
          <w:color w:val="auto"/>
        </w:rPr>
        <w:t>$0</w:t>
      </w:r>
      <w:r>
        <w:rPr>
          <w:rFonts w:ascii="Times New Roman" w:cs="Times New Roman" w:eastAsia="Times New Roman" w:hAnsi="Times New Roman"/>
          <w:sz w:val="16"/>
          <w:szCs w:val="16"/>
          <w:color w:val="auto"/>
        </w:rPr>
        <w:t xml:space="preserve"> and $28,257, respectively, is allocated and recorded in loss and LAE, and </w:t>
      </w:r>
      <w:r>
        <w:rPr>
          <w:rFonts w:ascii="Times New Roman" w:cs="Times New Roman" w:eastAsia="Times New Roman" w:hAnsi="Times New Roman"/>
          <w:sz w:val="17"/>
          <w:szCs w:val="17"/>
          <w:color w:val="auto"/>
        </w:rPr>
        <w:t>$0</w:t>
      </w:r>
      <w:r>
        <w:rPr>
          <w:rFonts w:ascii="Times New Roman" w:cs="Times New Roman" w:eastAsia="Times New Roman" w:hAnsi="Times New Roman"/>
          <w:sz w:val="16"/>
          <w:szCs w:val="16"/>
          <w:color w:val="auto"/>
        </w:rPr>
        <w:t xml:space="preserve"> and $95,676, respectively, is recorded in other underwriting expenses on the accompanying condensed consolidated statements of operations and comprehensive (loss) income. In addition to the cash payments, the Bonus Plan provides for a restricted stock award ("RSA") to the Company's senior leadership team ("SLT") and other members of management in an amount up to their cash payments if certain performance metrics have been met. The performance metrics for the three months ended March 31, 2026 and 2025 were not met, and, accordingly, no stock-based compensation liability has been accrued for the three months ended March 31, 2026 and 2025 for the SLT RSA bonus.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Executive Bonus Plan</w:t>
      </w: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 xml:space="preserve">For the three months ended March 31, 2026 and 2025, the Company accrued approximately </w:t>
      </w:r>
      <w:r>
        <w:rPr>
          <w:rFonts w:ascii="Times New Roman" w:cs="Times New Roman" w:eastAsia="Times New Roman" w:hAnsi="Times New Roman"/>
          <w:sz w:val="17"/>
          <w:szCs w:val="17"/>
          <w:color w:val="auto"/>
        </w:rPr>
        <w:t>$0</w:t>
      </w:r>
      <w:r>
        <w:rPr>
          <w:rFonts w:ascii="Times New Roman" w:cs="Times New Roman" w:eastAsia="Times New Roman" w:hAnsi="Times New Roman"/>
          <w:sz w:val="16"/>
          <w:szCs w:val="16"/>
          <w:color w:val="auto"/>
        </w:rPr>
        <w:t xml:space="preserve"> and $26,000, respectively, for a bonus pursuant to the Third Amended Golden Employment Agreement of which </w:t>
      </w:r>
      <w:r>
        <w:rPr>
          <w:rFonts w:ascii="Times New Roman" w:cs="Times New Roman" w:eastAsia="Times New Roman" w:hAnsi="Times New Roman"/>
          <w:sz w:val="17"/>
          <w:szCs w:val="17"/>
          <w:color w:val="auto"/>
        </w:rPr>
        <w:t>$0</w:t>
      </w:r>
      <w:r>
        <w:rPr>
          <w:rFonts w:ascii="Times New Roman" w:cs="Times New Roman" w:eastAsia="Times New Roman" w:hAnsi="Times New Roman"/>
          <w:sz w:val="16"/>
          <w:szCs w:val="16"/>
          <w:color w:val="auto"/>
        </w:rPr>
        <w:t xml:space="preserve"> and $23,000, respectively, is recorded in other underwriting expenses, and </w:t>
      </w:r>
      <w:r>
        <w:rPr>
          <w:rFonts w:ascii="Times New Roman" w:cs="Times New Roman" w:eastAsia="Times New Roman" w:hAnsi="Times New Roman"/>
          <w:sz w:val="17"/>
          <w:szCs w:val="17"/>
          <w:color w:val="auto"/>
        </w:rPr>
        <w:t>$0</w:t>
      </w:r>
      <w:r>
        <w:rPr>
          <w:rFonts w:ascii="Times New Roman" w:cs="Times New Roman" w:eastAsia="Times New Roman" w:hAnsi="Times New Roman"/>
          <w:sz w:val="16"/>
          <w:szCs w:val="16"/>
          <w:color w:val="auto"/>
        </w:rPr>
        <w:t xml:space="preserve"> and $3,000, respectively, is recorded in other operating expenses on the accompanying condensed consolidated statements of operations and comprehensive (loss) income.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401(k) Plan</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Company maintains a salary reduction plan under Section 401(k) of the Internal Revenue Code (the “401(k) Plan”) for its qualified employees. The Company matches 100% of each participant’s contribution up to 4% of the participant’s eligible contribution. The Company incurred approximately $138,000 and $113,000, respectively, of expense for the three months ended March 31, 2026 and 2025, related to the 401(k) Plan, which is recorded in other underwriting expenses on the accompanying condensed consolidated statements of operations and comprehensive (loss) income.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 Segment Information</w:t>
      </w:r>
    </w:p>
    <w:p>
      <w:pPr>
        <w:spacing w:after="0" w:line="2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6"/>
          <w:szCs w:val="16"/>
          <w:color w:val="auto"/>
        </w:rPr>
        <w:t>The Company reports results of operations for its reportable segments consistent with the manner in which its chief operating decision maker ("CODM") reviews the business to assess performance and allocate resources. The Company identifies its CODM to be its President and Chief Executive Officer.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evaluates the results of its single reportable segment as follows:</w:t>
      </w:r>
    </w:p>
    <w:p>
      <w:pPr>
        <w:spacing w:after="0" w:line="235" w:lineRule="exact"/>
        <w:rPr>
          <w:sz w:val="20"/>
          <w:szCs w:val="20"/>
          <w:color w:val="auto"/>
        </w:rPr>
      </w:pPr>
    </w:p>
    <w:p>
      <w:pPr>
        <w:ind w:left="660"/>
        <w:spacing w:after="0" w:line="263" w:lineRule="auto"/>
        <w:rPr>
          <w:sz w:val="20"/>
          <w:szCs w:val="20"/>
          <w:color w:val="auto"/>
        </w:rPr>
      </w:pPr>
      <w:r>
        <w:rPr>
          <w:rFonts w:ascii="Times New Roman" w:cs="Times New Roman" w:eastAsia="Times New Roman" w:hAnsi="Times New Roman"/>
          <w:sz w:val="16"/>
          <w:szCs w:val="16"/>
          <w:color w:val="auto"/>
        </w:rPr>
        <w:t>Insurance operations are evaluated on underwriting results (net premiums earned, ceding commission earned, other income, loss and loss adjustment expenses, commission expense, and other underwriting expenses), equating to the components of the net combined ratio.</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Investments from the insurance operations are primarily evaluated on net investment income and its return on equity contribution.</w:t>
      </w:r>
    </w:p>
    <w:p>
      <w:pPr>
        <w:spacing w:after="0" w:line="235" w:lineRule="exact"/>
        <w:rPr>
          <w:sz w:val="20"/>
          <w:szCs w:val="20"/>
          <w:color w:val="auto"/>
        </w:rPr>
      </w:pPr>
    </w:p>
    <w:p>
      <w:pPr>
        <w:ind w:left="660"/>
        <w:spacing w:after="0" w:line="263" w:lineRule="auto"/>
        <w:rPr>
          <w:sz w:val="20"/>
          <w:szCs w:val="20"/>
          <w:color w:val="auto"/>
        </w:rPr>
      </w:pPr>
      <w:r>
        <w:rPr>
          <w:rFonts w:ascii="Times New Roman" w:cs="Times New Roman" w:eastAsia="Times New Roman" w:hAnsi="Times New Roman"/>
          <w:sz w:val="16"/>
          <w:szCs w:val="16"/>
          <w:color w:val="auto"/>
        </w:rPr>
        <w:t>Net losses on investments, gain on sale of real estate, other operating expenses are corporate expenses, depreciation and amortization, interest expense, and income tax, which are broken out below the insurance operations components of the net combined ratio to return to the consolidated net income.</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The Company's CODM uses these measures of profit or loss predominantly in the annual budget and forecasting process, considering budget-to-actual variances throughout the year. The CODM also uses these profit measures for evaluating (i) financial performance, (ii) pricing in the Company's insurance operations, and (iii) employee compensation.</w:t>
      </w:r>
    </w:p>
    <w:p>
      <w:pPr>
        <w:spacing w:after="0" w:line="2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The Company does not allocate items not included in the net combined ratio. Such items include net losses on investments, gain on sale of real estate, depreciation and amortization, interest expense, corporate expenses included in other operating expenses, and assets to these segments. The Company does not allocate income taxes to its segments. The Company does not manage those segments on after-tax results.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tables reconcile the revenue and expense components of the net combined ratio to consolidated net (loss) income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30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5" w:lineRule="exact"/>
        <w:rPr>
          <w:sz w:val="20"/>
          <w:szCs w:val="20"/>
          <w:color w:val="auto"/>
        </w:rPr>
      </w:pPr>
    </w:p>
    <w:p>
      <w:pPr>
        <w:jc w:val="center"/>
        <w:ind w:left="30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3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1"/>
        </w:trPr>
        <w:tc>
          <w:tcPr>
            <w:tcW w:w="53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5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23"/>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 components of net combined ratio</w:t>
            </w:r>
          </w:p>
        </w:tc>
        <w:tc>
          <w:tcPr>
            <w:tcW w:w="4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r>
      <w:tr>
        <w:trPr>
          <w:trHeight w:val="210"/>
        </w:trPr>
        <w:tc>
          <w:tcPr>
            <w:tcW w:w="5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premiums earned</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55,868,814</w:t>
            </w:r>
          </w:p>
        </w:tc>
        <w:tc>
          <w:tcPr>
            <w:tcW w:w="8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43,523,063</w:t>
            </w:r>
          </w:p>
        </w:tc>
      </w:tr>
      <w:tr>
        <w:trPr>
          <w:trHeight w:val="33"/>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3"/>
        </w:trPr>
        <w:tc>
          <w:tcPr>
            <w:tcW w:w="5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Ceding commission revenue</w:t>
            </w:r>
          </w:p>
        </w:tc>
        <w:tc>
          <w:tcPr>
            <w:tcW w:w="4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1,403,876</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2,958,691</w:t>
            </w:r>
          </w:p>
        </w:tc>
      </w:tr>
      <w:tr>
        <w:trPr>
          <w:trHeight w:val="210"/>
        </w:trPr>
        <w:tc>
          <w:tcPr>
            <w:tcW w:w="5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180,789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139,954</w:t>
            </w:r>
          </w:p>
        </w:tc>
      </w:tr>
      <w:tr>
        <w:trPr>
          <w:trHeight w:val="33"/>
        </w:trPr>
        <w:tc>
          <w:tcPr>
            <w:tcW w:w="5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revenue components of net combined ratio</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57,453,479</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46,621,708</w:t>
            </w:r>
          </w:p>
        </w:tc>
      </w:tr>
      <w:tr>
        <w:trPr>
          <w:trHeight w:val="250"/>
        </w:trPr>
        <w:tc>
          <w:tcPr>
            <w:tcW w:w="536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r>
      <w:tr>
        <w:trPr>
          <w:trHeight w:val="223"/>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 components of net combined ratio</w:t>
            </w:r>
          </w:p>
        </w:tc>
        <w:tc>
          <w:tcPr>
            <w:tcW w:w="4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r>
      <w:tr>
        <w:trPr>
          <w:trHeight w:val="210"/>
        </w:trPr>
        <w:tc>
          <w:tcPr>
            <w:tcW w:w="5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and loss adjustment expenses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45,574,384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27,175,078</w:t>
            </w:r>
          </w:p>
        </w:tc>
      </w:tr>
      <w:tr>
        <w:trPr>
          <w:trHeight w:val="33"/>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3"/>
        </w:trPr>
        <w:tc>
          <w:tcPr>
            <w:tcW w:w="5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Commission expense</w:t>
            </w:r>
          </w:p>
        </w:tc>
        <w:tc>
          <w:tcPr>
            <w:tcW w:w="4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10,195,412</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9,312,880</w:t>
            </w:r>
          </w:p>
        </w:tc>
      </w:tr>
      <w:tr>
        <w:trPr>
          <w:trHeight w:val="210"/>
        </w:trPr>
        <w:tc>
          <w:tcPr>
            <w:tcW w:w="5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underwriting expenses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8,361,273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7,405,422</w:t>
            </w:r>
          </w:p>
        </w:tc>
      </w:tr>
      <w:tr>
        <w:trPr>
          <w:trHeight w:val="33"/>
        </w:trPr>
        <w:tc>
          <w:tcPr>
            <w:tcW w:w="5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expense components of net combined ratio</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64,131,069</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43,893,380</w:t>
            </w:r>
          </w:p>
        </w:tc>
      </w:tr>
      <w:tr>
        <w:trPr>
          <w:trHeight w:val="250"/>
        </w:trPr>
        <w:tc>
          <w:tcPr>
            <w:tcW w:w="536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r>
      <w:tr>
        <w:trPr>
          <w:trHeight w:val="243"/>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segment net (loss) income</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(6,677,590)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2,728,328</w:t>
            </w:r>
          </w:p>
        </w:tc>
      </w:tr>
      <w:tr>
        <w:trPr>
          <w:trHeight w:val="250"/>
        </w:trPr>
        <w:tc>
          <w:tcPr>
            <w:tcW w:w="536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r>
      <w:tr>
        <w:trPr>
          <w:trHeight w:val="223"/>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Reconciliation of net income components</w:t>
            </w:r>
          </w:p>
        </w:tc>
        <w:tc>
          <w:tcPr>
            <w:tcW w:w="4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r>
      <w:tr>
        <w:trPr>
          <w:trHeight w:val="210"/>
        </w:trPr>
        <w:tc>
          <w:tcPr>
            <w:tcW w:w="5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excluded from net combined ratio:</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3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12"/>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Revenue components excluded from net combined ratio</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1"/>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3"/>
        </w:trPr>
        <w:tc>
          <w:tcPr>
            <w:tcW w:w="5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investment income</w:t>
            </w:r>
          </w:p>
        </w:tc>
        <w:tc>
          <w:tcPr>
            <w:tcW w:w="4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3,337,581</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2,048,596</w:t>
            </w:r>
          </w:p>
        </w:tc>
      </w:tr>
      <w:tr>
        <w:trPr>
          <w:trHeight w:val="210"/>
        </w:trPr>
        <w:tc>
          <w:tcPr>
            <w:tcW w:w="5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on investments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(1,015,347)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(137,979)</w:t>
            </w:r>
          </w:p>
        </w:tc>
      </w:tr>
      <w:tr>
        <w:trPr>
          <w:trHeight w:val="33"/>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3"/>
        </w:trPr>
        <w:tc>
          <w:tcPr>
            <w:tcW w:w="5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sale of real estate</w:t>
            </w:r>
          </w:p>
        </w:tc>
        <w:tc>
          <w:tcPr>
            <w:tcW w:w="4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1,965,989</w:t>
            </w:r>
          </w:p>
        </w:tc>
      </w:tr>
      <w:tr>
        <w:trPr>
          <w:trHeight w:val="210"/>
        </w:trPr>
        <w:tc>
          <w:tcPr>
            <w:tcW w:w="5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r>
      <w:tr>
        <w:trPr>
          <w:trHeight w:val="33"/>
        </w:trPr>
        <w:tc>
          <w:tcPr>
            <w:tcW w:w="5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3"/>
        </w:trPr>
        <w:tc>
          <w:tcPr>
            <w:tcW w:w="53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revenue components excluded</w:t>
            </w:r>
          </w:p>
        </w:tc>
        <w:tc>
          <w:tcPr>
            <w:tcW w:w="4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r>
      <w:tr>
        <w:trPr>
          <w:trHeight w:val="210"/>
        </w:trPr>
        <w:tc>
          <w:tcPr>
            <w:tcW w:w="5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from net combined ratio</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2,322,257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3,877,067</w:t>
            </w:r>
          </w:p>
        </w:tc>
      </w:tr>
      <w:tr>
        <w:trPr>
          <w:trHeight w:val="33"/>
        </w:trPr>
        <w:tc>
          <w:tcPr>
            <w:tcW w:w="5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53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12"/>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 components excluded from net combined ratio</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1"/>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3"/>
        </w:trPr>
        <w:tc>
          <w:tcPr>
            <w:tcW w:w="53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operating expenses</w:t>
            </w:r>
          </w:p>
        </w:tc>
        <w:tc>
          <w:tcPr>
            <w:tcW w:w="4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2,260,547</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1,035,737</w:t>
            </w:r>
          </w:p>
        </w:tc>
      </w:tr>
      <w:tr>
        <w:trPr>
          <w:trHeight w:val="210"/>
        </w:trPr>
        <w:tc>
          <w:tcPr>
            <w:tcW w:w="5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715,507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623,863</w:t>
            </w:r>
          </w:p>
        </w:tc>
      </w:tr>
      <w:tr>
        <w:trPr>
          <w:trHeight w:val="33"/>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3"/>
        </w:trPr>
        <w:tc>
          <w:tcPr>
            <w:tcW w:w="53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expense</w:t>
            </w:r>
          </w:p>
        </w:tc>
        <w:tc>
          <w:tcPr>
            <w:tcW w:w="4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69,855</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227,454</w:t>
            </w:r>
          </w:p>
        </w:tc>
      </w:tr>
      <w:tr>
        <w:trPr>
          <w:trHeight w:val="210"/>
        </w:trPr>
        <w:tc>
          <w:tcPr>
            <w:tcW w:w="5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tax</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(1,592,992)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835,681</w:t>
            </w:r>
          </w:p>
        </w:tc>
      </w:tr>
      <w:tr>
        <w:trPr>
          <w:trHeight w:val="33"/>
        </w:trPr>
        <w:tc>
          <w:tcPr>
            <w:tcW w:w="5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3"/>
        </w:trPr>
        <w:tc>
          <w:tcPr>
            <w:tcW w:w="53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expense components excluded</w:t>
            </w:r>
          </w:p>
        </w:tc>
        <w:tc>
          <w:tcPr>
            <w:tcW w:w="4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r>
      <w:tr>
        <w:trPr>
          <w:trHeight w:val="210"/>
        </w:trPr>
        <w:tc>
          <w:tcPr>
            <w:tcW w:w="5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from net combined ratio</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1,452,917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2,722,735</w:t>
            </w:r>
          </w:p>
        </w:tc>
      </w:tr>
      <w:tr>
        <w:trPr>
          <w:trHeight w:val="33"/>
        </w:trPr>
        <w:tc>
          <w:tcPr>
            <w:tcW w:w="5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53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10"/>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loss components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5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excluded from net combined ratio:</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869,340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1,154,332</w:t>
            </w:r>
          </w:p>
        </w:tc>
      </w:tr>
      <w:tr>
        <w:trPr>
          <w:trHeight w:val="250"/>
        </w:trPr>
        <w:tc>
          <w:tcPr>
            <w:tcW w:w="536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r>
      <w:tr>
        <w:trPr>
          <w:trHeight w:val="26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Consolidated net (loss) income</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(5,808,250)</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3,882,660</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calculation of the net combined ratio and return on equity from net investment income for the periods presented.</w:t>
      </w:r>
    </w:p>
    <w:p>
      <w:pPr>
        <w:spacing w:after="0" w:line="260"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32"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160" w:type="dxa"/>
            <w:vAlign w:val="bottom"/>
            <w:tcBorders>
              <w:top w:val="single" w:sz="8" w:color="CCEEFF"/>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6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1840" w:type="dxa"/>
            <w:vAlign w:val="bottom"/>
            <w:tcBorders>
              <w:top w:val="single" w:sz="8" w:color="auto"/>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192"/>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combined ratio</w:t>
            </w:r>
          </w:p>
        </w:tc>
        <w:tc>
          <w:tcPr>
            <w:tcW w:w="1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31"/>
        </w:trPr>
        <w:tc>
          <w:tcPr>
            <w:tcW w:w="5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6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ratio</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81.6 %</w:t>
            </w:r>
          </w:p>
        </w:tc>
        <w:tc>
          <w:tcPr>
            <w:tcW w:w="8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62.4 %</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0"/>
        </w:trPr>
        <w:tc>
          <w:tcPr>
            <w:tcW w:w="63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underwriting expense ratio</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30.4 %</w:t>
            </w:r>
          </w:p>
        </w:tc>
        <w:tc>
          <w:tcPr>
            <w:tcW w:w="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31.3 %</w:t>
            </w:r>
          </w:p>
        </w:tc>
        <w:tc>
          <w:tcPr>
            <w:tcW w:w="100" w:type="dxa"/>
            <w:vAlign w:val="bottom"/>
          </w:tcPr>
          <w:p>
            <w:pPr>
              <w:spacing w:after="0"/>
              <w:rPr>
                <w:sz w:val="18"/>
                <w:szCs w:val="18"/>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2"/>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combined ratio</w:t>
            </w: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112.0 %</w:t>
            </w:r>
          </w:p>
        </w:tc>
        <w:tc>
          <w:tcPr>
            <w:tcW w:w="8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93.7 %</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Reconciliation of net underwriting expense ratio:</w:t>
            </w: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0"/>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Commission expense and other</w:t>
            </w: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1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underwriting expenses</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18,556,685</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16,718,302</w:t>
            </w:r>
          </w:p>
        </w:tc>
        <w:tc>
          <w:tcPr>
            <w:tcW w:w="100" w:type="dxa"/>
            <w:vAlign w:val="bottom"/>
          </w:tcPr>
          <w:p>
            <w:pPr>
              <w:spacing w:after="0"/>
              <w:rPr>
                <w:sz w:val="19"/>
                <w:szCs w:val="19"/>
                <w:color w:val="auto"/>
              </w:rPr>
            </w:pPr>
          </w:p>
        </w:tc>
      </w:tr>
      <w:tr>
        <w:trPr>
          <w:trHeight w:val="210"/>
        </w:trPr>
        <w:tc>
          <w:tcPr>
            <w:tcW w:w="5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Less: Ceding commission revenue</w:t>
            </w:r>
          </w:p>
        </w:tc>
        <w:tc>
          <w:tcPr>
            <w:tcW w:w="44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(1,403,876)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(2,958,691)</w:t>
            </w:r>
          </w:p>
        </w:tc>
        <w:tc>
          <w:tcPr>
            <w:tcW w:w="10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1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Less: Other income</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(180,789)</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(139,954)</w:t>
            </w:r>
          </w:p>
        </w:tc>
        <w:tc>
          <w:tcPr>
            <w:tcW w:w="100" w:type="dxa"/>
            <w:vAlign w:val="bottom"/>
          </w:tcPr>
          <w:p>
            <w:pPr>
              <w:spacing w:after="0"/>
              <w:rPr>
                <w:sz w:val="21"/>
                <w:szCs w:val="21"/>
                <w:color w:val="auto"/>
              </w:rPr>
            </w:pPr>
          </w:p>
        </w:tc>
      </w:tr>
      <w:tr>
        <w:trPr>
          <w:trHeight w:val="190"/>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commission expense and other</w:t>
            </w:r>
          </w:p>
        </w:tc>
        <w:tc>
          <w:tcPr>
            <w:tcW w:w="4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33"/>
        </w:trPr>
        <w:tc>
          <w:tcPr>
            <w:tcW w:w="5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68"/>
        </w:trPr>
        <w:tc>
          <w:tcPr>
            <w:tcW w:w="51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underwriting expenses</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16,972,020</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13,619,657</w:t>
            </w:r>
          </w:p>
        </w:tc>
        <w:tc>
          <w:tcPr>
            <w:tcW w:w="100" w:type="dxa"/>
            <w:vAlign w:val="bottom"/>
          </w:tcPr>
          <w:p>
            <w:pPr>
              <w:spacing w:after="0"/>
              <w:rPr>
                <w:sz w:val="22"/>
                <w:szCs w:val="22"/>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8"/>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earned premium</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55,868,814</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43,523,063</w:t>
            </w:r>
          </w:p>
        </w:tc>
        <w:tc>
          <w:tcPr>
            <w:tcW w:w="100" w:type="dxa"/>
            <w:vAlign w:val="bottom"/>
          </w:tcPr>
          <w:p>
            <w:pPr>
              <w:spacing w:after="0"/>
              <w:rPr>
                <w:sz w:val="22"/>
                <w:szCs w:val="22"/>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Underwriting Expense Ratio</w:t>
            </w:r>
          </w:p>
        </w:tc>
        <w:tc>
          <w:tcPr>
            <w:tcW w:w="4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30.4 %</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31.3 %</w:t>
            </w:r>
          </w:p>
        </w:tc>
        <w:tc>
          <w:tcPr>
            <w:tcW w:w="100" w:type="dxa"/>
            <w:vAlign w:val="bottom"/>
          </w:tcPr>
          <w:p>
            <w:pPr>
              <w:spacing w:after="0"/>
              <w:rPr>
                <w:sz w:val="19"/>
                <w:szCs w:val="19"/>
                <w:color w:val="auto"/>
              </w:rPr>
            </w:pPr>
          </w:p>
        </w:tc>
      </w:tr>
      <w:tr>
        <w:trPr>
          <w:trHeight w:val="270"/>
        </w:trPr>
        <w:tc>
          <w:tcPr>
            <w:tcW w:w="5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23"/>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Return on equity on net investment income</w:t>
            </w:r>
          </w:p>
        </w:tc>
        <w:tc>
          <w:tcPr>
            <w:tcW w:w="4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Stockholders' equity beginning of period</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122,731,249</w:t>
            </w:r>
          </w:p>
        </w:tc>
        <w:tc>
          <w:tcPr>
            <w:tcW w:w="8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66,708,451</w:t>
            </w:r>
          </w:p>
        </w:tc>
        <w:tc>
          <w:tcPr>
            <w:tcW w:w="10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Stockholders' equity end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114,504,510</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82,209,963</w:t>
            </w:r>
          </w:p>
        </w:tc>
        <w:tc>
          <w:tcPr>
            <w:tcW w:w="100" w:type="dxa"/>
            <w:vAlign w:val="bottom"/>
          </w:tcPr>
          <w:p>
            <w:pPr>
              <w:spacing w:after="0"/>
              <w:rPr>
                <w:sz w:val="19"/>
                <w:szCs w:val="19"/>
                <w:color w:val="auto"/>
              </w:rPr>
            </w:pPr>
          </w:p>
        </w:tc>
      </w:tr>
      <w:tr>
        <w:trPr>
          <w:trHeight w:val="210"/>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Average stockholders' equity</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118,617,880</w:t>
            </w:r>
          </w:p>
        </w:tc>
        <w:tc>
          <w:tcPr>
            <w:tcW w:w="8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74,459,207</w:t>
            </w:r>
          </w:p>
        </w:tc>
        <w:tc>
          <w:tcPr>
            <w:tcW w:w="10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investment income</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3,337,581</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2,048,596</w:t>
            </w:r>
          </w:p>
        </w:tc>
        <w:tc>
          <w:tcPr>
            <w:tcW w:w="100" w:type="dxa"/>
            <w:vAlign w:val="bottom"/>
          </w:tcPr>
          <w:p>
            <w:pPr>
              <w:spacing w:after="0"/>
              <w:rPr>
                <w:sz w:val="19"/>
                <w:szCs w:val="19"/>
                <w:color w:val="auto"/>
              </w:rPr>
            </w:pPr>
          </w:p>
        </w:tc>
      </w:tr>
      <w:tr>
        <w:trPr>
          <w:trHeight w:val="210"/>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Return on equity on net investment income</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Return on equity on net investment income - annualized</w:t>
            </w:r>
          </w:p>
        </w:tc>
        <w:tc>
          <w:tcPr>
            <w:tcW w:w="4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9"/>
                <w:szCs w:val="19"/>
                <w:color w:val="auto"/>
              </w:rPr>
            </w:pPr>
          </w:p>
        </w:tc>
      </w:tr>
      <w:tr>
        <w:trPr>
          <w:trHeight w:val="210"/>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assets</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465,339,043</w:t>
            </w:r>
          </w:p>
        </w:tc>
        <w:tc>
          <w:tcPr>
            <w:tcW w:w="8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385,439,240</w:t>
            </w:r>
          </w:p>
        </w:tc>
        <w:tc>
          <w:tcPr>
            <w:tcW w:w="100" w:type="dxa"/>
            <w:vAlign w:val="bottom"/>
          </w:tcPr>
          <w:p>
            <w:pPr>
              <w:spacing w:after="0"/>
              <w:rPr>
                <w:sz w:val="18"/>
                <w:szCs w:val="18"/>
                <w:color w:val="auto"/>
              </w:rPr>
            </w:pPr>
          </w:p>
        </w:tc>
      </w:tr>
    </w:tbl>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 Sale of Real Estate</w:t>
      </w:r>
    </w:p>
    <w:p>
      <w:pPr>
        <w:spacing w:after="0" w:line="21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February 5, 2025, a subsidiary of the Company entered into a contract of sale with Ulster County, New York (the “County”) for the sale to the County of the Company’s headquarters building in Kingston, New York, along with an adjacent mixed-use property (collectively, the “Property”). The purchase price for the Property was $3,600,000. The closing of the sale was on March 19,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15 – Subsequent Events</w:t>
      </w:r>
    </w:p>
    <w:p>
      <w:pPr>
        <w:spacing w:after="0" w:line="223"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The Company has evaluated events that occurred subsequent to March 31, 2026 through the date these condensed consolidated financial statements were issued for matters that required disclosure or adjustment in these condensed consolidated financial statements.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Employment Agreement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Meryl Golden, President and Chief Executive Officer</w:t>
      </w:r>
    </w:p>
    <w:p>
      <w:pPr>
        <w:spacing w:after="0" w:line="237"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On April 17, 2026, the Company and Ms. Golden entered into a Fourth Amended and Restated Employment Agreement (the “Fourth Amended Golden Employment Agreement”). The Fourth Amended Golden Employment Agreement is effective as of January 11, 2027 and expires on January 10, 2029. The Fourth Amended Golden Employment Agreement extends the expiration date of the Third Amended Golden Employment Agreement from January 10, 2027 to January 10, 2029.</w:t>
      </w:r>
    </w:p>
    <w:p>
      <w:pPr>
        <w:spacing w:after="0" w:line="18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Pursuant to the Fourth Amended Golden Employment Agreement, Ms. Golden is entitled to receive an annual base salary of $550,000 (the same as currently in effect) and an annual bonus equal to 3% of the Company’s consolidated income from operations before taxes,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exclusive of the Company’s consolidated net investment income (loss), net unrealized gains (losses) on equity securities and net realized gains (losses) on investments, up to a maximum of 1.25 times her base annual salary (the same as currently in effect). Pursuant to the Fourth Amended Golden Employment Agreement (and as provided for in the Third Amended Golden Employment Agreement), in the event that Ms. Golden’s employment is terminated by the Company without cause or she resigns for good reason (each as defined in the Fourth Amended Golden Employment Agreement), Ms. Golden would be entitled to receive her base salary and the 3% bonus for the remainder of the term. Ms. Golden would be entitled, under certain circumstances, to a payment equal to 1.5 times her then annual salary and her accrued 3% bonus in the event of the termination of her employment following a change of control of the Company (also as is provided for in the Third Amended Golden Employment Agreement). Pursuant to the Fourth Amended Golden Employment Agreement, Ms. Golden will be entitled to receive, under certain circumstances, a grant, during each of January 2027 and January 2028, of 40,000 shares of restricted stock. The 2027 grant will become vested with respect to one-half of the award on each of the first and second anniversaries of the grant date. The 2028 grant will become vested on the first anniversary of the grant date. The above grants are generally consistent with the grants provided for in the Third Amended Golden Employment Agreement. In the event that the Company is precluded from making a grant to Ms. Golden in either 2027 or 2028, she would instead be entitled to a cash bonus for such year equal to 40,000 multiplied by the common stock market price at the time.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Dividend Declared</w:t>
      </w:r>
    </w:p>
    <w:p>
      <w:pPr>
        <w:spacing w:after="0" w:line="22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On April 27, 2026, the Company’s Board of Directors approved a quarterly dividend of $0.05 per share payable in cash on May 26, 2026 to stockholders of record as of the close of business on May 11, 2026 (see Note 8 – Stockholders’ Equity).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Kingstone America Insurance Company</w:t>
      </w:r>
    </w:p>
    <w:p>
      <w:pPr>
        <w:spacing w:after="0" w:line="22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Our wholly-owned subsidiary, Kingstone America Insurance Company ("KAIC"), was licensed to write property and casualty insurance by the state of Connecticut on May 1, 2026. We expect KAIC to begin writing policies in the latter part of 2026.</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other subsequent events identified requiring recognition or disclosure in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ITEM 2</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MANAGEMENT’S DISCUSSION AND ANALYSIS OF FINANCIAL CONDITION AND RESULTS OF OPERATIONS</w:t>
      </w:r>
      <w:r>
        <w:rPr>
          <w:rFonts w:ascii="Times New Roman" w:cs="Times New Roman" w:eastAsia="Times New Roman" w:hAnsi="Times New Roman"/>
          <w:sz w:val="16"/>
          <w:szCs w:val="16"/>
          <w:color w:val="auto"/>
        </w:rPr>
        <w:t>.</w:t>
      </w:r>
    </w:p>
    <w:p>
      <w:pPr>
        <w:spacing w:after="0" w:line="22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We offer property and casualty insurance products through our wholly-owned subsidiary, Kingstone Insurance Company (“KICO”). KICO is a New York domiciled carrier writing business through retail and wholesale agents and brokers. KICO is actively writing personal lines and commercial auto insurance in New York, and in 2025 was the 11th largest writer of homeowners insurance in New York. KICO is also licensed in the states of New Jersey, Rhode Island, Massachusetts, Connecticut, Pennsylvania, New Hampshire, and Maine. Our wholly-owned subsidiary, Kingstone America Insurance Company ("KAIC"), was licensed to write property and casualty insurance by the state of Connecticut on May 1, 2026. We expect KAIC to begin writing policies in the latter part of 2026. For the three months ended March 31, 2026 and 2025, respectively, 98.7% and 98.3% of KICO’s direct premiums written came from the New York policies.</w:t>
      </w:r>
    </w:p>
    <w:p>
      <w:pPr>
        <w:spacing w:after="0" w:line="19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 addition, our wholly-owned subsidiary, Cosi Agency, Inc. (“Cosi”), a multi-state licensed general agency, receives commission revenue from KICO for the policies it places with others and pays commissions to these agencies. In April 2026, Cosi became licensed in California, and we expect to expand our underwriting operations to California during 2026 through the policies Cosi writes. Cosi retains the profit between the commission revenue received and the commission expense paid (“Net Cosi Revenue”). Commission expense is reduced by Net Cosi Revenue. Cosi-related operating expenses are minimal and are included in other operating expenses.</w:t>
      </w:r>
    </w:p>
    <w:p>
      <w:pPr>
        <w:spacing w:after="0" w:line="17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written for a one year term. Earned premiums represent premiums received from insureds, which are recognized as revenue over the period of time that insurance coverage is provided (i.e., ratably over the one year life of the policy). A significant period of time can elapse from the receipt of insurance premiums to the payment of insurance claims. During this time, KICO invests the premiums, earns investment income and generates net realized and unrealized investment gains and losses on investments. Our holding company earns investment income from its cash holdings.</w:t>
      </w:r>
    </w:p>
    <w:p>
      <w:pPr>
        <w:spacing w:after="0" w:line="19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Our expenses include the insurance underwriting expenses of KICO and other operating expenses. Insurance companies incur a significant amount of their total expenses from losses incurred by policyholders, which are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166" w:lineRule="exact"/>
        <w:rPr>
          <w:sz w:val="20"/>
          <w:szCs w:val="20"/>
          <w:color w:val="auto"/>
        </w:rPr>
      </w:pPr>
    </w:p>
    <w:p>
      <w:pPr>
        <w:jc w:val="both"/>
        <w:ind w:firstLine="607"/>
        <w:spacing w:after="0" w:line="280" w:lineRule="auto"/>
        <w:rPr>
          <w:sz w:val="20"/>
          <w:szCs w:val="20"/>
          <w:color w:val="auto"/>
        </w:rPr>
      </w:pPr>
      <w:r>
        <w:rPr>
          <w:rFonts w:ascii="Times New Roman" w:cs="Times New Roman" w:eastAsia="Times New Roman" w:hAnsi="Times New Roman"/>
          <w:sz w:val="16"/>
          <w:szCs w:val="16"/>
          <w:color w:val="auto"/>
        </w:rPr>
        <w:t>Other operating expenses include our corporate expenses as a holding company. These corporate expenses include legal and auditing fees, executive employment costs and equity compensation, directors' fees, and other costs directly associated with being a public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Product Lines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Our product lines include the following:</w:t>
      </w:r>
    </w:p>
    <w:p>
      <w:pPr>
        <w:spacing w:after="0" w:line="2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i w:val="1"/>
          <w:iCs w:val="1"/>
          <w:color w:val="auto"/>
        </w:rPr>
        <w:t>Personal lines</w:t>
      </w:r>
      <w:r>
        <w:rPr>
          <w:rFonts w:ascii="Times New Roman" w:cs="Times New Roman" w:eastAsia="Times New Roman" w:hAnsi="Times New Roman"/>
          <w:sz w:val="16"/>
          <w:szCs w:val="16"/>
          <w:color w:val="auto"/>
        </w:rPr>
        <w:t>: Our largest line of business is personal lines, consisting of homeowners, dwelling fire, cooperative/condominium, renters, and personal umbrella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policies.</w:t>
      </w:r>
    </w:p>
    <w:p>
      <w:pPr>
        <w:spacing w:after="0" w:line="199" w:lineRule="exact"/>
        <w:rPr>
          <w:sz w:val="20"/>
          <w:szCs w:val="20"/>
          <w:color w:val="auto"/>
        </w:rPr>
      </w:pPr>
    </w:p>
    <w:p>
      <w:pPr>
        <w:jc w:val="both"/>
        <w:ind w:right="20" w:firstLine="648"/>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Livery physical damage: </w:t>
      </w:r>
      <w:r>
        <w:rPr>
          <w:rFonts w:ascii="Times New Roman" w:cs="Times New Roman" w:eastAsia="Times New Roman" w:hAnsi="Times New Roman"/>
          <w:sz w:val="16"/>
          <w:szCs w:val="16"/>
          <w:color w:val="auto"/>
        </w:rPr>
        <w:t>We write for-hire vehicle physical damage only policies for livery and car service vehicles and taxicabs. These policies insure only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physical damage portion of insurance for such vehicles, with no liability coverage included.</w:t>
      </w:r>
    </w:p>
    <w:p>
      <w:pPr>
        <w:spacing w:after="0" w:line="129" w:lineRule="exact"/>
        <w:rPr>
          <w:sz w:val="20"/>
          <w:szCs w:val="20"/>
          <w:color w:val="auto"/>
        </w:rPr>
      </w:pPr>
    </w:p>
    <w:p>
      <w:pPr>
        <w:jc w:val="both"/>
        <w:ind w:right="20" w:firstLine="607"/>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Commercial liability: </w:t>
      </w:r>
      <w:r>
        <w:rPr>
          <w:rFonts w:ascii="Times New Roman" w:cs="Times New Roman" w:eastAsia="Times New Roman" w:hAnsi="Times New Roman"/>
          <w:sz w:val="16"/>
          <w:szCs w:val="16"/>
          <w:color w:val="auto"/>
        </w:rPr>
        <w:t>Through July 2019, we offered businessowners policies, which consist primarily of small business retail, service, and office risks, with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limited property exposures. We also wrote artisan’s liability policies for small independent contractors with smaller sized workforces. In addition, we wrote special multi-peril policies for larger and more specialized businessowners risks, including those with limited residential exposures. Further, we offered commercial umbrella policies written above our supporting commercial lines policies.</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6"/>
          <w:szCs w:val="16"/>
          <w:color w:val="auto"/>
        </w:rPr>
        <w:t xml:space="preserve">In May 2019, due to the poor performance of these lines, we placed a moratorium on new commercial lines and new commercial umbrella submissions while we further reviewed this business. In July 2019, due to the continuing poor performance of these lines, we made the decision to no longer underwrite commercial lines or commercial umbrella risks. In-force policies as of July 31, 2019 for these lines were non-renewed at the end of their annual terms. As of March 31, 2026 and December 31, 2025, there were no commercial liability policies in-force. As of March 31, 2026, these expired policies represented approximately </w:t>
      </w:r>
      <w:r>
        <w:rPr>
          <w:rFonts w:ascii="Times New Roman" w:cs="Times New Roman" w:eastAsia="Times New Roman" w:hAnsi="Times New Roman"/>
          <w:sz w:val="17"/>
          <w:szCs w:val="17"/>
          <w:color w:val="auto"/>
        </w:rPr>
        <w:t>9.9%</w:t>
      </w:r>
      <w:r>
        <w:rPr>
          <w:rFonts w:ascii="Times New Roman" w:cs="Times New Roman" w:eastAsia="Times New Roman" w:hAnsi="Times New Roman"/>
          <w:sz w:val="16"/>
          <w:szCs w:val="16"/>
          <w:color w:val="auto"/>
        </w:rPr>
        <w:t xml:space="preserve"> of loss and LAE reserves net of reinsurance recoverables. See discussion below under “Additional Financial Information”.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Other: </w:t>
      </w:r>
      <w:r>
        <w:rPr>
          <w:rFonts w:ascii="Times New Roman" w:cs="Times New Roman" w:eastAsia="Times New Roman" w:hAnsi="Times New Roman"/>
          <w:sz w:val="16"/>
          <w:szCs w:val="16"/>
          <w:color w:val="auto"/>
        </w:rPr>
        <w:t>We write canine legal liability policies and have a small participation in mandatory state joint underwriting associations.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GAAP and Non-GAAP Measures</w:t>
      </w:r>
    </w:p>
    <w:p>
      <w:pPr>
        <w:spacing w:after="0" w:line="22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6"/>
          <w:szCs w:val="16"/>
          <w:color w:val="auto"/>
        </w:rPr>
        <w:t>We utilize the following key GAAP accounting principles generally accepted in the United States and non-GAAP measures in analyzing the results of our insurance underwriting business. See "Non-GAAP Financial Measures" for a reconciliation of the below non-GAAP measures to the most directly comparable GAAP measure:</w:t>
      </w:r>
    </w:p>
    <w:p>
      <w:pPr>
        <w:spacing w:after="0" w:line="359" w:lineRule="exact"/>
        <w:rPr>
          <w:sz w:val="20"/>
          <w:szCs w:val="20"/>
          <w:color w:val="auto"/>
        </w:rPr>
      </w:pPr>
    </w:p>
    <w:p>
      <w:pPr>
        <w:jc w:val="both"/>
        <w:ind w:firstLine="607"/>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 xml:space="preserve">Direct premiums written, net premiums written: </w:t>
      </w:r>
      <w:r>
        <w:rPr>
          <w:rFonts w:ascii="Times New Roman" w:cs="Times New Roman" w:eastAsia="Times New Roman" w:hAnsi="Times New Roman"/>
          <w:sz w:val="16"/>
          <w:szCs w:val="16"/>
          <w:color w:val="auto"/>
        </w:rPr>
        <w:t>Direct premiums written is a non-GAAP measure, which represent the total premiums charged on policies issued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by an insurance company during the respective fiscal period. Net premiums written is a non-GAAP measure, which are direct premiums written less premiums ceded to reinsurers. Net premiums earned, the GAAP measure most comparable to direct premiums written and net premiums written, are net premiums written that are pro-rata earned during the fiscal period presented. All of our policies are written for a twelve-month period. Management uses direct premiums written and net premiums written, along with other measures, to gauge our performance and evaluate results. Direct premiums written and net premiums written are provided as supplemental information, not as a substitute for net premiums earned, and do not reflect the Company’s net premiums earned.</w:t>
      </w:r>
    </w:p>
    <w:p>
      <w:pPr>
        <w:spacing w:after="0" w:line="173" w:lineRule="exact"/>
        <w:rPr>
          <w:sz w:val="20"/>
          <w:szCs w:val="20"/>
          <w:color w:val="auto"/>
        </w:rPr>
      </w:pPr>
    </w:p>
    <w:p>
      <w:pPr>
        <w:jc w:val="both"/>
        <w:ind w:firstLine="607"/>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loss ratio: </w:t>
      </w:r>
      <w:r>
        <w:rPr>
          <w:rFonts w:ascii="Times New Roman" w:cs="Times New Roman" w:eastAsia="Times New Roman" w:hAnsi="Times New Roman"/>
          <w:sz w:val="16"/>
          <w:szCs w:val="16"/>
          <w:color w:val="auto"/>
        </w:rPr>
        <w:t>The net loss ratio is a GAAP measure of the underwriting profitability of an insurance company’s business. Expressed as a percentage, this is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ratio of net losses and LAE incurred to net premiums earned.</w:t>
      </w:r>
    </w:p>
    <w:p>
      <w:pPr>
        <w:spacing w:after="0" w:line="14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6"/>
          <w:szCs w:val="16"/>
          <w:b w:val="1"/>
          <w:bCs w:val="1"/>
          <w:i w:val="1"/>
          <w:iCs w:val="1"/>
          <w:color w:val="auto"/>
        </w:rPr>
        <w:t xml:space="preserve">Underlying loss ratio: </w:t>
      </w:r>
      <w:r>
        <w:rPr>
          <w:rFonts w:ascii="Times New Roman" w:cs="Times New Roman" w:eastAsia="Times New Roman" w:hAnsi="Times New Roman"/>
          <w:sz w:val="16"/>
          <w:szCs w:val="16"/>
          <w:color w:val="auto"/>
        </w:rPr>
        <w:t>The underlying loss ratio is a non-GAAP ratio, which is computed as the GAAP net loss ratio excluding the effect of prior year loss reserve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development and catastrophes losses. Management believes that this ratio is useful to investors, and it is used by management to reveal the trends in our business that may be obscured by prior year loss reserve development and catastrophe losses. Catastrophe losses cause our loss ratios to vary significantly between periods as a result of their incidence of occurrence and magnitude and can have a significant impact on the net loss ratio. Management believes that this measure is useful for investors to evaluate this component separately when reviewing our underwriting performance. The most directly comparable GAAP measure is the net loss ratio. The underlying loss ratio should not be considered a substitute for the net loss ratio and does not reflect our net loss ratio.</w:t>
      </w:r>
    </w:p>
    <w:p>
      <w:pPr>
        <w:spacing w:after="0" w:line="21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loss ratio excluding the effect of catastrophes: </w:t>
      </w:r>
      <w:r>
        <w:rPr>
          <w:rFonts w:ascii="Times New Roman" w:cs="Times New Roman" w:eastAsia="Times New Roman" w:hAnsi="Times New Roman"/>
          <w:sz w:val="16"/>
          <w:szCs w:val="16"/>
          <w:color w:val="auto"/>
        </w:rPr>
        <w:t>The net loss ratio excluding the effect of catastrophes is a non-GAAP ratio, which is computed as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difference between the GAAP net loss ratio and the effect of catastrophes on the net loss ratio. Management believes that this ratio is useful to investors, and it is used by management to reveal the trends in our business that may be obscured by catastrophe losses. Catastrophe losses cause our net loss ratios to vary significantly between periods as a result of their incidence of occurrence and magnitude and can have a significant impact on the net loss ratio. Management believes that this measure is useful for investors to evaluate this component separately when reviewing our underwriting performance. The most directly comparable GAAP measure is the net loss ratio. The net loss ratio excluding the effect of catastrophes should not be considered a substitute for the net loss ratio and does not reflect our net loss ratio.</w:t>
      </w:r>
    </w:p>
    <w:p>
      <w:pPr>
        <w:spacing w:after="0" w:line="20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loss ratio excluding commercial lines business: </w:t>
      </w:r>
      <w:r>
        <w:rPr>
          <w:rFonts w:ascii="Times New Roman" w:cs="Times New Roman" w:eastAsia="Times New Roman" w:hAnsi="Times New Roman"/>
          <w:sz w:val="16"/>
          <w:szCs w:val="16"/>
          <w:color w:val="auto"/>
        </w:rPr>
        <w:t>The net loss ratio excluding commercial lines business is a non-GAAP ratio, which is computed as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difference between the GAAP net loss ratio and the effect of commercial lines on the net loss ratio. Management believes that this ratio is useful to investors, and it is used by management to reveal the trends in our business that may be obscured by losses from commercial lines business. Our commercial lines business has been in run-off effective July 2019. Commercial lines losses cause our net loss ratios to vary between periods as a result of changes to their loss reserves during the run-off period and have an impact on the net loss ratio. Management believes that this measure is useful for investors to evaluate this component separately when reviewing our underwriting performance. The most directly comparable GAAP measure is the net loss ratio. The net loss ratio excluding commercial lines business should not be considered a substitute for the net loss ratio and does not reflect our net loss ratio.</w:t>
      </w:r>
    </w:p>
    <w:p>
      <w:pPr>
        <w:spacing w:after="0" w:line="189" w:lineRule="exact"/>
        <w:rPr>
          <w:sz w:val="20"/>
          <w:szCs w:val="20"/>
          <w:color w:val="auto"/>
        </w:rPr>
      </w:pPr>
    </w:p>
    <w:p>
      <w:pPr>
        <w:jc w:val="both"/>
        <w:ind w:firstLine="607"/>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underwriting expense ratio: </w:t>
      </w:r>
      <w:r>
        <w:rPr>
          <w:rFonts w:ascii="Times New Roman" w:cs="Times New Roman" w:eastAsia="Times New Roman" w:hAnsi="Times New Roman"/>
          <w:sz w:val="16"/>
          <w:szCs w:val="16"/>
          <w:color w:val="auto"/>
        </w:rPr>
        <w:t>The net underwriting expense ratio is a GAAP measure of an insurance company’s operational efficiency in administering its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business. Expressed as a percentage, this is the ratio of the sum of acquisition costs (the most significant being commissions paid to our producers) and other underwriting expenses less ceding commission revenue less other income to net premiums earned.</w:t>
      </w:r>
    </w:p>
    <w:p>
      <w:pPr>
        <w:spacing w:after="0" w:line="19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underwriting expense ratio excluding the effect of catastrophes: </w:t>
      </w:r>
      <w:r>
        <w:rPr>
          <w:rFonts w:ascii="Times New Roman" w:cs="Times New Roman" w:eastAsia="Times New Roman" w:hAnsi="Times New Roman"/>
          <w:sz w:val="16"/>
          <w:szCs w:val="16"/>
          <w:color w:val="auto"/>
        </w:rPr>
        <w:t>The net underwriting expense ratio excluding the effect of catastrophes is a non-GAAP</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ratio, which is computed as the difference between the GAAP net underwriting expense ratio and the effect of catastrophes on the net underwriting expense ratio. Management believes that this ratio is useful to investors, and it is used by management to reveal the trends in our business that may be obscured by catastrophe losses. Catastrophe losses cause our net underwriting expense ratios to vary significantly between periods as a result of their incidence of occurrence and magnitude and can have a significant impact on the net underwriting expense ratio. Management believes that this measure is useful for investors to evaluate this component separately when reviewing our underwriting performance. The most directly comparable GAAP measure is the net underwriting expense ratio. The net underwriting expense ratio excluding the effect of catastrophes should not be considered a substitute for the net underwriting expense ratio and does not reflect our net underwriting expense ratio.</w:t>
      </w:r>
    </w:p>
    <w:p>
      <w:pPr>
        <w:spacing w:after="0" w:line="176" w:lineRule="exact"/>
        <w:rPr>
          <w:sz w:val="20"/>
          <w:szCs w:val="20"/>
          <w:color w:val="auto"/>
        </w:rPr>
      </w:pPr>
    </w:p>
    <w:p>
      <w:pPr>
        <w:jc w:val="both"/>
        <w:ind w:firstLine="607"/>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combined ratio: </w:t>
      </w:r>
      <w:r>
        <w:rPr>
          <w:rFonts w:ascii="Times New Roman" w:cs="Times New Roman" w:eastAsia="Times New Roman" w:hAnsi="Times New Roman"/>
          <w:sz w:val="16"/>
          <w:szCs w:val="16"/>
          <w:color w:val="auto"/>
        </w:rPr>
        <w:t>The net combined ratio is a GAAP measure of an insurance company’s overall underwriting profit. This is the sum of the net loss and net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underwriting expense ratios. If the net combined ratio is at or above 100 percent, an insurance company cannot be profitable without investment income, and may not be profitable if investment income is insufficient.</w:t>
      </w:r>
    </w:p>
    <w:p>
      <w:pPr>
        <w:spacing w:after="0" w:line="19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combined ratio excluding the effect of catastrophes: </w:t>
      </w:r>
      <w:r>
        <w:rPr>
          <w:rFonts w:ascii="Times New Roman" w:cs="Times New Roman" w:eastAsia="Times New Roman" w:hAnsi="Times New Roman"/>
          <w:sz w:val="16"/>
          <w:szCs w:val="16"/>
          <w:color w:val="auto"/>
        </w:rPr>
        <w:t>The net combined ratio excluding the effect of catastrophes is a non-GAAP ratio, which is computed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difference between the GAAP combined ratio and the effect of catastrophes on the net combined ratio. Management believes that this ratio is useful to investors, and it is used by management to reveal the trends in our business that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may be obscured by catastrophe losses. Catastrophe losses cause our net combined ratios to vary significantly between periods as a result of their incidence of occurrence and magnitude and can have a significant impact on the net combined ratio. Management believes that this measure is useful for investors to evaluate this component separately when reviewing our underwriting performance. The most directly comparable GAAP measure is the net combined ratio. The net combined ratio excluding the effect of catastrophes should not be considered a substitute for the net combined ratio and does not reflect our net combined ratio.</w:t>
      </w:r>
    </w:p>
    <w:p>
      <w:pPr>
        <w:spacing w:after="0" w:line="175" w:lineRule="exact"/>
        <w:rPr>
          <w:sz w:val="20"/>
          <w:szCs w:val="20"/>
          <w:color w:val="auto"/>
        </w:rPr>
      </w:pPr>
    </w:p>
    <w:p>
      <w:pPr>
        <w:jc w:val="both"/>
        <w:ind w:firstLine="607"/>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Underwriting (loss) income: </w:t>
      </w:r>
      <w:r>
        <w:rPr>
          <w:rFonts w:ascii="Times New Roman" w:cs="Times New Roman" w:eastAsia="Times New Roman" w:hAnsi="Times New Roman"/>
          <w:sz w:val="16"/>
          <w:szCs w:val="16"/>
          <w:color w:val="auto"/>
        </w:rPr>
        <w:t>Underwriting (loss) income is net pre-tax (loss) income attributable to our insurance underwriting business before investment activity.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It excludes net investment income, net realized gains from investments, gain on sale of real estate, depreciation and amortization, and interest expense (net premiums earned less expenses included in combined ratio). Underwriting (loss) income is a measure of an insurance company’s overall operating profitability before items such as investment income, depreciation and amortization, interest expense and income taxes.</w:t>
      </w:r>
    </w:p>
    <w:p>
      <w:pPr>
        <w:spacing w:after="0" w:line="19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(loss) income from insurance underwriting business on a standalone basis: </w:t>
      </w:r>
      <w:r>
        <w:rPr>
          <w:rFonts w:ascii="Times New Roman" w:cs="Times New Roman" w:eastAsia="Times New Roman" w:hAnsi="Times New Roman"/>
          <w:sz w:val="16"/>
          <w:szCs w:val="16"/>
          <w:color w:val="auto"/>
        </w:rPr>
        <w:t>Net (loss) income from insurance underwriting business on a standalone basis is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 non-GAAP measure, which is computed as GAAP net (loss) income without the effect of holding company operations on GAAP net (loss) income. Management believes that this measure is useful to investors, and it is used by management to reveal the trends in our insurance underwriting business that may be obscured by holding company operations. Holding company operations cause our GAAP net (loss) income to vary significantly between periods as a result of their magnitude and can have a significant impact on GAAP net (loss) income. Management believes that this measure is useful for investors to evaluate this component separately when reviewing our underwriting performance. The most directly comparable GAAP measure is GAAP net (loss) income. Net (loss) income from insurance underwriting business on a standalone basis should not be considered a substitute for GAAP net (loss) income and does not reflect our GAAP net (loss) income.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23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Our condensed consolidated financial statements include the accounts of Kingstone Companies, Inc. and all wholly-owned subsidiaries. The preparation of financial statements in conformity with GAAP requires our management to make estimates and assumptions in certain circumstances that affect amounts reported in our condensed consolidated financial statements and related notes. In preparing these condensed consolidated financial statements, our management has utilized information including our past history, industry standards, and the current economic environment, and other factors, in forming its estimates and judgments of certain amounts included in the condensed consolidated financial statements, giving due consideration to materiality. It is possible that the ultimate outcome as anticipated by our management in formulating its estimates in these financial statements may not materialize.</w:t>
      </w:r>
    </w:p>
    <w:p>
      <w:pPr>
        <w:spacing w:after="0" w:line="181"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Application of critical accounting estimates involve the exercise of judgment and use of assumptions as to future uncertainties and, as a result, actual results could differ from these estimates. In addition, other companies may utilize different estimates, which may impact comparability of our results of operations to those of similar companies.</w:t>
      </w:r>
    </w:p>
    <w:p>
      <w:pPr>
        <w:spacing w:after="0" w:line="171"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See below a description of these critical accounting estimates. Also see Note 2 to the consolidated financial statements in our Annual Report on Form 10-K for the year ended December 31,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Loss and Loss Adjustment Expense Reserves</w:t>
      </w:r>
    </w:p>
    <w:p>
      <w:pPr>
        <w:spacing w:after="0" w:line="23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Property and casualty loss and loss adjustment expense (“LAE”) reserves are established to provide for the estimated cost of settling both reported (“case”) and incurred but not reported (“IBNR”) claims and claims adjusting expenses. The liability for these reserves is estimated on an undiscounted basis, using individual case-basis valuations and paid claims, pending claims, statistical analyses and various actuarial reserving methodologies. Due to the inherent uncertainty of the reserve process, actual loss costs could vary significantly compared to estimated loss costs. The below table provides detail of our reserves as of March 31, 2026 and December 31, 2025: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5"/>
        </w:trPr>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12"/>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30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Ceded</w:t>
            </w:r>
          </w:p>
        </w:tc>
        <w:tc>
          <w:tcPr>
            <w:tcW w:w="360" w:type="dxa"/>
            <w:vAlign w:val="bottom"/>
          </w:tcPr>
          <w:p>
            <w:pPr>
              <w:spacing w:after="0"/>
              <w:rPr>
                <w:sz w:val="18"/>
                <w:szCs w:val="18"/>
                <w:color w:val="auto"/>
              </w:rPr>
            </w:pPr>
          </w:p>
        </w:tc>
        <w:tc>
          <w:tcPr>
            <w:tcW w:w="11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Net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30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Ceded</w:t>
            </w:r>
          </w:p>
        </w:tc>
        <w:tc>
          <w:tcPr>
            <w:tcW w:w="360" w:type="dxa"/>
            <w:vAlign w:val="bottom"/>
          </w:tcPr>
          <w:p>
            <w:pPr>
              <w:spacing w:after="0"/>
              <w:rPr>
                <w:sz w:val="18"/>
                <w:szCs w:val="18"/>
                <w:color w:val="auto"/>
              </w:rPr>
            </w:pPr>
          </w:p>
        </w:tc>
        <w:tc>
          <w:tcPr>
            <w:tcW w:w="11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31"/>
        </w:trPr>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Case loss</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95,966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29,592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66,374</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75,385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20,749</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54,636</w:t>
            </w:r>
          </w:p>
        </w:tc>
      </w:tr>
      <w:tr>
        <w:trPr>
          <w:trHeight w:val="210"/>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Case LAE</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5,646</w:t>
            </w:r>
          </w:p>
        </w:tc>
      </w:tr>
      <w:tr>
        <w:trPr>
          <w:trHeight w:val="33"/>
        </w:trPr>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IBNR loss</w:t>
            </w: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46,616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37,280</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38,794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8,277</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30,517</w:t>
            </w:r>
          </w:p>
        </w:tc>
      </w:tr>
      <w:tr>
        <w:trPr>
          <w:trHeight w:val="210"/>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IBNR LAE</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16,507</w:t>
            </w:r>
          </w:p>
        </w:tc>
      </w:tr>
      <w:tr>
        <w:trPr>
          <w:trHeight w:val="33"/>
        </w:trPr>
        <w:tc>
          <w:tcPr>
            <w:tcW w:w="1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2"/>
        </w:trPr>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171,749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128,606</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33,232</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107,306</w:t>
            </w: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(Components may not sum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607"/>
        <w:spacing w:after="0" w:line="280" w:lineRule="auto"/>
        <w:rPr>
          <w:sz w:val="20"/>
          <w:szCs w:val="20"/>
          <w:color w:val="auto"/>
        </w:rPr>
      </w:pPr>
      <w:r>
        <w:rPr>
          <w:rFonts w:ascii="Times New Roman" w:cs="Times New Roman" w:eastAsia="Times New Roman" w:hAnsi="Times New Roman"/>
          <w:sz w:val="16"/>
          <w:szCs w:val="16"/>
          <w:color w:val="auto"/>
        </w:rPr>
        <w:t>Case Reserves – Reserves for reported losses are based on an estimate of ultimate loss costs of an individual claim derived from individual case-basis valuations, actual claims paid, pending claims, statistical analyses and various actuarial reserving methodologies.</w:t>
      </w:r>
    </w:p>
    <w:p>
      <w:pPr>
        <w:spacing w:after="0" w:line="16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6"/>
          <w:szCs w:val="16"/>
          <w:color w:val="auto"/>
        </w:rPr>
        <w:t>IBNR Reserves – IBNR reserves are estimates of claims that have occurred but as to which we have not yet been notified to establish the case reserve. IBNR also accounts for loss development on claims that have been reported. IBNR is determined using historical information aggregated by line of insurance and adjusted to current conditions.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Reinsurance</w:t>
      </w:r>
    </w:p>
    <w:p>
      <w:pPr>
        <w:spacing w:after="0" w:line="23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purchase reinsurance to manage our underwriting risk on certain policies. Reinsurance receivables represent management’s best estimate of loss and LAE recoverable from reinsurers. Reinsurance receivables are estimated using the same methodologies as loss and LAE reserves. Changes in the methods and assumptions used could result in significant variances between actual and estimated losses.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Deferred Income Taxes</w:t>
      </w:r>
    </w:p>
    <w:p>
      <w:pPr>
        <w:spacing w:after="0" w:line="22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6"/>
          <w:szCs w:val="16"/>
          <w:color w:val="auto"/>
        </w:rPr>
        <w:t>Our effective tax rate is based on GAAP income at statutory tax rates, adjusted for non-taxable and non-deductible items, and tax credits. Changes in estimates used in preparing the condensed consolidated statements of operations and comprehensive (loss) income could result in significant changes to our deferred tax asset or liability.</w:t>
      </w:r>
    </w:p>
    <w:p>
      <w:pPr>
        <w:spacing w:after="0" w:line="36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Deferred tax assets or liabilities are recognized for estimated future tax consequences which result in differences between the financial statement carrying amounts of assets and liabilities and their respective tax basis. These assets and liabilities are carried at the enacted tax rates expected to apply when the asset or liability is expected to be recovered or settled. Changes in estimates and assumptions in the condensed consolidated statements of operations and comprehensive (loss) income, or changes in the enacted tax rate, could result in significant variances between our carried deferred tax and tax recognized on the recovery or settlement of the asset or liability.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Investments</w:t>
      </w:r>
    </w:p>
    <w:p>
      <w:pPr>
        <w:spacing w:after="0" w:line="22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Bonds are classified as held-to-maturity (“HTM”) or available-for-sale (“AFS”), and stocks are generally classified as AFS. Investments classified as HTM are carried at amortized cost, which requires very little judgement. Investments in stocks classified as AFS are generally carried at fair value with an unrealized gain/loss recorded in net income. Investments in bonds classified as AFS are generally carried at fair value with an unrealized gain/loss recorded in accumulated other comprehensive income. Actual results could vary significantly from the fair values recognized in the condensed consolidated statements of operations and comprehensive (loss) income.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Policies in Force and Direct Premiums Written</w:t>
      </w:r>
    </w:p>
    <w:p>
      <w:pPr>
        <w:spacing w:after="0" w:line="22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See the tables below for our policies in force as of March 31, 2026 and 2025 and direct written premiums for the three months ended March 31, 2026 and 2025. For the three months ended March 31, 2026, our direct written premiums increased by 19.6% compared to the three months ended March 31, 2025, while policies in force increased by 7.2% as of March 31, 2026 as compared to March 31,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80" w:type="dxa"/>
            <w:vAlign w:val="bottom"/>
            <w:gridSpan w:val="8"/>
          </w:tcPr>
          <w:p>
            <w:pPr>
              <w:jc w:val="center"/>
              <w:ind w:right="880"/>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1600" w:type="dxa"/>
            <w:vAlign w:val="bottom"/>
          </w:tcPr>
          <w:p>
            <w:pPr>
              <w:spacing w:after="0"/>
              <w:rPr>
                <w:sz w:val="18"/>
                <w:szCs w:val="18"/>
                <w:color w:val="auto"/>
              </w:rPr>
            </w:pPr>
          </w:p>
        </w:tc>
      </w:tr>
      <w:tr>
        <w:trPr>
          <w:trHeight w:val="33"/>
        </w:trPr>
        <w:tc>
          <w:tcPr>
            <w:tcW w:w="4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6"/>
        </w:trPr>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31"/>
        </w:trPr>
        <w:tc>
          <w:tcPr>
            <w:tcW w:w="4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28"/>
        </w:trPr>
        <w:tc>
          <w:tcPr>
            <w:tcW w:w="4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r>
      <w:tr>
        <w:trPr>
          <w:trHeight w:val="248"/>
        </w:trPr>
        <w:tc>
          <w:tcPr>
            <w:tcW w:w="49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Policies In Force</w:t>
            </w:r>
          </w:p>
        </w:tc>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82,406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76,905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r>
      <w:tr>
        <w:trPr>
          <w:trHeight w:val="541"/>
        </w:trPr>
        <w:tc>
          <w:tcPr>
            <w:tcW w:w="48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100" w:type="dxa"/>
            <w:vAlign w:val="bottom"/>
            <w:tcBorders>
              <w:top w:val="single" w:sz="8" w:color="auto"/>
              <w:bottom w:val="single" w:sz="8" w:color="auto"/>
            </w:tcBorders>
            <w:gridSpan w:val="9"/>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600" w:type="dxa"/>
            <w:vAlign w:val="bottom"/>
            <w:tcBorders>
              <w:top w:val="single" w:sz="8" w:color="auto"/>
              <w:bottom w:val="single" w:sz="8" w:color="auto"/>
            </w:tcBorders>
          </w:tcPr>
          <w:p>
            <w:pPr>
              <w:spacing w:after="0"/>
              <w:rPr>
                <w:sz w:val="24"/>
                <w:szCs w:val="24"/>
                <w:color w:val="auto"/>
              </w:rPr>
            </w:pPr>
          </w:p>
        </w:tc>
      </w:tr>
      <w:tr>
        <w:trPr>
          <w:trHeight w:val="212"/>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(000’s except percentages)</w:t>
            </w: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31"/>
        </w:trPr>
        <w:tc>
          <w:tcPr>
            <w:tcW w:w="49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42"/>
        </w:trPr>
        <w:tc>
          <w:tcPr>
            <w:tcW w:w="4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43"/>
        </w:trPr>
        <w:tc>
          <w:tcPr>
            <w:tcW w:w="4980" w:type="dxa"/>
            <w:vAlign w:val="bottom"/>
            <w:tcBorders>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 premiums written</w:t>
            </w:r>
            <w:r>
              <w:rPr>
                <w:rFonts w:ascii="Times New Roman" w:cs="Times New Roman" w:eastAsia="Times New Roman" w:hAnsi="Times New Roman"/>
                <w:sz w:val="21"/>
                <w:szCs w:val="21"/>
                <w:color w:val="auto"/>
                <w:vertAlign w:val="superscript"/>
              </w:rPr>
              <w:t>1</w:t>
            </w:r>
          </w:p>
        </w:tc>
        <w:tc>
          <w:tcPr>
            <w:tcW w:w="920" w:type="dxa"/>
            <w:vAlign w:val="bottom"/>
            <w:tcBorders>
              <w:bottom w:val="single" w:sz="8" w:color="auto"/>
            </w:tcBorders>
            <w:gridSpan w:val="2"/>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69,603</w:t>
            </w:r>
          </w:p>
        </w:tc>
        <w:tc>
          <w:tcPr>
            <w:tcW w:w="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58,175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r>
    </w:tbl>
    <w:p>
      <w:pPr>
        <w:spacing w:after="0" w:line="81" w:lineRule="exact"/>
        <w:rPr>
          <w:sz w:val="20"/>
          <w:szCs w:val="20"/>
          <w:color w:val="auto"/>
        </w:rPr>
      </w:pPr>
    </w:p>
    <w:p>
      <w:pPr>
        <w:ind w:right="580"/>
        <w:spacing w:after="0" w:line="225"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Direct premiums written is a non-GAAP measure defined above under "Key GAAP and Non-GAAP Measures". See "Non-GAAP Financial Measures" below for a reconciliation of direct premiums written to the GAAP measure of net premiums earned.</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 in Market Dynamics (underway), and 5-Year Growth Plan (underway)</w:t>
      </w:r>
    </w:p>
    <w:p>
      <w:pPr>
        <w:spacing w:after="0" w:line="210"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Market Dynamics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We refer to the new business described in the next two paragraphs as a Change in Market Dynamics.</w:t>
      </w:r>
    </w:p>
    <w:p>
      <w:pPr>
        <w:spacing w:after="0" w:line="23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On August 2, 2024, two large competitors announced a plan to wind down their personal lines operations in New York State and to non-renew or mid-term cancel their entire book of business before year end 2024. The policyholders of such competitors needed to find alternative coverage. Beginning in the quarter ended September 30, 2024, we began seeing a sizable increase in our policies in force and direct written premiums from these non-renewed and cancelled policies.</w:t>
      </w:r>
    </w:p>
    <w:p>
      <w:pPr>
        <w:spacing w:after="0" w:line="19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On April 14, 2025, KICO entered into an agreement to offer a quote for a replacement policy to selected homeowners policyholders in Downstate New York as one of our competitors pivoted focus away from admitted personal lines business (the "Withdrawal Plan"). The Withdrawal Plan, which includes this transaction, has been approved by the New York State Department of Financial Services ("DFS"). This competitor wrote approximately $70 million in written premium. The Withdrawal Plan has enabled KICO to work with new distribution partners to further increase its footprint in Downstate New York by offering an alternative policy to selected homeowners policyholders with effective dates that started in late third quarter of 2025. This transaction is being handled in a similar manner to the paragraph above, except that we are streamlining the process by providing a quote for eligible policyholders to our producers.</w:t>
      </w:r>
    </w:p>
    <w:p>
      <w:pPr>
        <w:spacing w:after="0" w:line="168" w:lineRule="exact"/>
        <w:rPr>
          <w:sz w:val="20"/>
          <w:szCs w:val="20"/>
          <w:color w:val="auto"/>
        </w:rPr>
      </w:pPr>
    </w:p>
    <w:p>
      <w:pPr>
        <w:ind w:left="1300" w:hanging="320"/>
        <w:spacing w:after="0"/>
        <w:tabs>
          <w:tab w:leader="none" w:pos="13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5-Year Growth Plan</w:t>
      </w:r>
    </w:p>
    <w:p>
      <w:pPr>
        <w:spacing w:after="0" w:line="22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 2025, we announced our 5-year goal of $500 million in direct written premium by 2029 (the "5-Year Growth Plan"), effectively doubling the size of our company relative to such time. We developed a strategic plan that outlines how we will achieve this goal through a combination of organic initiatives and strategic inorganic opportunities in our core state of New York along with measured geographic expansion into new states. We intend to maintain our focus on our core expertise of insuring catastrophe-exposed properties.</w:t>
      </w:r>
    </w:p>
    <w:p>
      <w:pPr>
        <w:spacing w:after="0" w:line="19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Relative to geographic expansion, we have conducted a thorough study of selected geographies and states with the help of industry-leading third-party advisors and overlaid important lessons learned from our past challenges to ensure that we do not face such challenges again. We plan to pursue prudent growth at a measured pace in our chosen new states, testing and validating rate adequacy commensurate with risk factors in the new geographies. Our current plan is to go live in California and Connecticut in 2026, and two additional states in 2027.</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color w:val="auto"/>
        </w:rPr>
        <w:t>Consolidated Results of Operations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March 31, 2026 Compared to Three Months Ended March 31, 2025</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summarizes the changes in the results of our operations (in thousands)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4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Direct premiums written (1)</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69,603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58,175</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11,428</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193"/>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Ceded premiums written</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Ceded to quota share treaties (2)</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(4,193)</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(6,134)</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 %</w:t>
            </w:r>
          </w:p>
        </w:tc>
        <w:tc>
          <w:tcPr>
            <w:tcW w:w="0" w:type="dxa"/>
            <w:vAlign w:val="bottom"/>
          </w:tcPr>
          <w:p>
            <w:pPr>
              <w:spacing w:after="0"/>
              <w:rPr>
                <w:sz w:val="1"/>
                <w:szCs w:val="1"/>
                <w:color w:val="auto"/>
              </w:rPr>
            </w:pPr>
          </w:p>
        </w:tc>
      </w:tr>
      <w:tr>
        <w:trPr>
          <w:trHeight w:val="193"/>
        </w:trPr>
        <w:tc>
          <w:tcPr>
            <w:tcW w:w="49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Ceded to excess of loss treaties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Ceded to catastrophe treaties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86"/>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ceded premiums written</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(7,990)</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(2,834)</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(5,156)</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(181.9) %</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written premiums (1)</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77,593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61,009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16,584</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Change in unearned premiums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Direct</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2,470</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(2,085)</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0" w:type="dxa"/>
            <w:vAlign w:val="bottom"/>
          </w:tcPr>
          <w:p>
            <w:pPr>
              <w:spacing w:after="0"/>
              <w:rPr>
                <w:sz w:val="1"/>
                <w:szCs w:val="1"/>
                <w:color w:val="auto"/>
              </w:rPr>
            </w:pPr>
          </w:p>
        </w:tc>
      </w:tr>
      <w:tr>
        <w:trPr>
          <w:trHeight w:val="193"/>
        </w:trPr>
        <w:tc>
          <w:tcPr>
            <w:tcW w:w="49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Ceded to reinsurance treaties (2)</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(22,110)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(19,957)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(2,153)</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net unearned premiums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(17,486)</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(4,238)</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 %</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Premiums earned</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Direct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69,989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60,645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9,344</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Ceded to reinsurance treaties (2)</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(17,122)</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3,002</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86"/>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premiums earned</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55,869</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43,523</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12,346</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Ceding commission revenue (2)</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(1,555)</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(52.6) %</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investment income</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0" w:type="dxa"/>
            <w:vAlign w:val="bottom"/>
          </w:tcPr>
          <w:p>
            <w:pPr>
              <w:spacing w:after="0"/>
              <w:rPr>
                <w:sz w:val="1"/>
                <w:szCs w:val="1"/>
                <w:color w:val="auto"/>
              </w:rPr>
            </w:pPr>
          </w:p>
        </w:tc>
      </w:tr>
      <w:tr>
        <w:trPr>
          <w:trHeight w:val="193"/>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losses on investments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10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 on sale of real estate</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1,966</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(1,966)</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93"/>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Other income</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9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revenues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59,775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50,499</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and loss adjustment expenses</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Direct and assumed:</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Loss and loss adjustment expenses excluding the effect of catastrophes</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34,611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33,341</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9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Losses from catastrophes (3)</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24,726</w:t>
            </w:r>
          </w:p>
        </w:tc>
        <w:tc>
          <w:tcPr>
            <w:tcW w:w="10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9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direct and assumed loss and loss adjustment expenses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60,230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34,234</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25,996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Ceded loss and loss adjustment expenses:</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Loss and loss adjustment expenses excluding the effect of catastrophes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(3,381)</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(48.9) %</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Losses from catastrophes (3)</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10,978</w:t>
            </w:r>
          </w:p>
        </w:tc>
        <w:tc>
          <w:tcPr>
            <w:tcW w:w="1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86"/>
        </w:trPr>
        <w:tc>
          <w:tcPr>
            <w:tcW w:w="49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Total ceded loss and loss adjustment expenses</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14,656</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7,059</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9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Net loss and loss adjustment expenses: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Loss and loss adjustment expenses excluding the effect of catastrophes</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31,076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26,425</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9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Losses from catastrophes (3)</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14,499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13,749</w:t>
            </w:r>
          </w:p>
        </w:tc>
        <w:tc>
          <w:tcPr>
            <w:tcW w:w="100" w:type="dxa"/>
            <w:vAlign w:val="bottom"/>
          </w:tcPr>
          <w:p>
            <w:pPr>
              <w:spacing w:after="0"/>
              <w:rPr>
                <w:sz w:val="16"/>
                <w:szCs w:val="16"/>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9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Net loss and loss adjustment expenses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45,574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27,175</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18,399</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Commission expense</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9,313</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Other underwriting expenses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operating expenses</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 %</w:t>
            </w:r>
          </w:p>
        </w:tc>
        <w:tc>
          <w:tcPr>
            <w:tcW w:w="0" w:type="dxa"/>
            <w:vAlign w:val="bottom"/>
          </w:tcPr>
          <w:p>
            <w:pPr>
              <w:spacing w:after="0"/>
              <w:rPr>
                <w:sz w:val="1"/>
                <w:szCs w:val="1"/>
                <w:color w:val="auto"/>
              </w:rPr>
            </w:pPr>
          </w:p>
        </w:tc>
      </w:tr>
      <w:tr>
        <w:trPr>
          <w:trHeight w:val="186"/>
        </w:trPr>
        <w:tc>
          <w:tcPr>
            <w:tcW w:w="49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Total expenses</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67,177</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45,780</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21,397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(Loss) income before taxes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(12,119)</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(256.9) %</w:t>
            </w:r>
          </w:p>
        </w:tc>
        <w:tc>
          <w:tcPr>
            <w:tcW w:w="0" w:type="dxa"/>
            <w:vAlign w:val="bottom"/>
          </w:tcPr>
          <w:p>
            <w:pPr>
              <w:spacing w:after="0"/>
              <w:rPr>
                <w:sz w:val="1"/>
                <w:szCs w:val="1"/>
                <w:color w:val="auto"/>
              </w:rPr>
            </w:pPr>
          </w:p>
        </w:tc>
      </w:tr>
      <w:tr>
        <w:trPr>
          <w:trHeight w:val="24"/>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w:t>
            </w: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(290.6) %</w:t>
            </w:r>
          </w:p>
        </w:tc>
        <w:tc>
          <w:tcPr>
            <w:tcW w:w="0" w:type="dxa"/>
            <w:vAlign w:val="bottom"/>
          </w:tcPr>
          <w:p>
            <w:pPr>
              <w:spacing w:after="0"/>
              <w:rPr>
                <w:sz w:val="1"/>
                <w:szCs w:val="1"/>
                <w:color w:val="auto"/>
              </w:rPr>
            </w:pPr>
          </w:p>
        </w:tc>
      </w:tr>
      <w:tr>
        <w:trPr>
          <w:trHeight w:val="210"/>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income</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(5,808)</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3,883</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(9,690)</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(249.6) %</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(Columns in the table above may not sum to totals due to rounding)</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620" w:right="260" w:hanging="802"/>
        <w:spacing w:after="0" w:line="280" w:lineRule="auto"/>
        <w:tabs>
          <w:tab w:leader="none" w:pos="16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 premiums written and net premiums written are non-GAAP measures, defined above under "Key GAAP and Non-GAAP Measures", and reconciled under "Non-GAAP Financial Measures" to the GAAP measure of net premiums earned.</w:t>
      </w:r>
    </w:p>
    <w:p>
      <w:pPr>
        <w:spacing w:after="0" w:line="178" w:lineRule="exact"/>
        <w:rPr>
          <w:rFonts w:ascii="Times New Roman" w:cs="Times New Roman" w:eastAsia="Times New Roman" w:hAnsi="Times New Roman"/>
          <w:sz w:val="16"/>
          <w:szCs w:val="16"/>
          <w:color w:val="auto"/>
        </w:rPr>
      </w:pPr>
    </w:p>
    <w:p>
      <w:pPr>
        <w:ind w:left="1620" w:right="420" w:hanging="802"/>
        <w:spacing w:after="0" w:line="280" w:lineRule="auto"/>
        <w:tabs>
          <w:tab w:leader="none" w:pos="16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March 31, 2025, our personal lines business was subject to a 16% quota share treaty, expiring on January 1, 2026. Effective January 1, 2026, we entered into a 5% personal lines quota share treaty, under a cutoff basis.</w:t>
      </w:r>
    </w:p>
    <w:p>
      <w:pPr>
        <w:spacing w:after="0" w:line="178" w:lineRule="exact"/>
        <w:rPr>
          <w:rFonts w:ascii="Times New Roman" w:cs="Times New Roman" w:eastAsia="Times New Roman" w:hAnsi="Times New Roman"/>
          <w:sz w:val="16"/>
          <w:szCs w:val="16"/>
          <w:color w:val="auto"/>
        </w:rPr>
      </w:pPr>
    </w:p>
    <w:p>
      <w:pPr>
        <w:ind w:left="1620" w:right="140" w:hanging="802"/>
        <w:spacing w:after="0" w:line="263" w:lineRule="auto"/>
        <w:tabs>
          <w:tab w:leader="none" w:pos="16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three months ended March 31, 2026 and 2025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00" w:type="dxa"/>
            <w:vAlign w:val="bottom"/>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Percentage</w:t>
            </w: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840" w:type="dxa"/>
            <w:vAlign w:val="bottom"/>
            <w:vMerge w:val="restart"/>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vMerge w:val="restart"/>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Point</w:t>
            </w:r>
          </w:p>
        </w:tc>
        <w:tc>
          <w:tcPr>
            <w:tcW w:w="100" w:type="dxa"/>
            <w:vAlign w:val="bottom"/>
          </w:tcPr>
          <w:p>
            <w:pPr>
              <w:spacing w:after="0"/>
              <w:rPr>
                <w:sz w:val="17"/>
                <w:szCs w:val="17"/>
                <w:color w:val="auto"/>
              </w:rPr>
            </w:pPr>
          </w:p>
        </w:tc>
        <w:tc>
          <w:tcPr>
            <w:tcW w:w="15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14"/>
        </w:trPr>
        <w:tc>
          <w:tcPr>
            <w:tcW w:w="4840" w:type="dxa"/>
            <w:vAlign w:val="bottom"/>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08"/>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Key ratios: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 ratio</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8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19.2</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30.8 %</w:t>
            </w:r>
          </w:p>
        </w:tc>
        <w:tc>
          <w:tcPr>
            <w:tcW w:w="0" w:type="dxa"/>
            <w:vAlign w:val="bottom"/>
          </w:tcPr>
          <w:p>
            <w:pPr>
              <w:spacing w:after="0"/>
              <w:rPr>
                <w:sz w:val="1"/>
                <w:szCs w:val="1"/>
                <w:color w:val="auto"/>
              </w:rPr>
            </w:pPr>
          </w:p>
        </w:tc>
      </w:tr>
      <w:tr>
        <w:trPr>
          <w:trHeight w:val="210"/>
        </w:trPr>
        <w:tc>
          <w:tcPr>
            <w:tcW w:w="58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Net underwriting expense ratio</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8"/>
                <w:szCs w:val="18"/>
                <w:color w:val="auto"/>
              </w:rPr>
            </w:pPr>
          </w:p>
        </w:tc>
        <w:tc>
          <w:tcPr>
            <w:tcW w:w="144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(0.9)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33"/>
        </w:trPr>
        <w:tc>
          <w:tcPr>
            <w:tcW w:w="48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combined ratio</w:t>
            </w:r>
          </w:p>
        </w:tc>
        <w:tc>
          <w:tcPr>
            <w:tcW w:w="9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w:t>
            </w:r>
          </w:p>
        </w:tc>
        <w:tc>
          <w:tcPr>
            <w:tcW w:w="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18.3</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19.5 %</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Direct Premiums Written(1)</w:t>
      </w:r>
    </w:p>
    <w:p>
      <w:pPr>
        <w:spacing w:after="0" w:line="23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Direct premiums written during the three months ended March 31, 2026 (“Three Months of 2026”) were $69,603,000 compared to $58,175,000 during the three months ended March 31, 2025 (“Three Months of 2025”). The increase of $11,428,000, or 19.6%, was primarily due to an increase in premiums from our personal lines business. Direct premiums written from our personal lines business for the Three Months of 2026 were $65,924,000, an increase of $11,611,000, or 21.4%, from $54,313,000 in the Three Months of 2025. The 21.4% increase in premiums from our personal lines business was primarily due to the organic growth from the Change in Market Dynamics in the New York market and to a lesser extent an increase in rates primarily from an increase in replacement costs.</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6"/>
          <w:szCs w:val="16"/>
          <w:color w:val="auto"/>
        </w:rPr>
        <w:t>Direct premiums written from our livery physical damage business for the Three Months of 2026 were $3,662,000, a decrease of $185,000, or 4.8%, from $3,847,000 in the Three Months of 2025. The decrease in direct premiums written for livery physical damage is due to a decrease in policies in force.</w:t>
      </w:r>
    </w:p>
    <w:p>
      <w:pPr>
        <w:spacing w:after="0"/>
        <w:rPr>
          <w:sz w:val="20"/>
          <w:szCs w:val="20"/>
          <w:color w:val="auto"/>
        </w:rPr>
      </w:pPr>
      <w:r>
        <w:rPr>
          <w:rFonts w:ascii="Times New Roman" w:cs="Times New Roman" w:eastAsia="Times New Roman" w:hAnsi="Times New Roman"/>
          <w:sz w:val="16"/>
          <w:szCs w:val="16"/>
          <w:color w:val="auto"/>
        </w:rPr>
        <w:t>___________________</w:t>
      </w:r>
    </w:p>
    <w:p>
      <w:pPr>
        <w:spacing w:after="0" w:line="217" w:lineRule="exact"/>
        <w:rPr>
          <w:sz w:val="20"/>
          <w:szCs w:val="20"/>
          <w:color w:val="auto"/>
        </w:rPr>
      </w:pPr>
    </w:p>
    <w:p>
      <w:pPr>
        <w:ind w:firstLine="656"/>
        <w:spacing w:after="0" w:line="280" w:lineRule="auto"/>
        <w:tabs>
          <w:tab w:leader="none" w:pos="882"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 premiums written is a non-GAAP measure, defined above under "Key GAAP and Non-GAAP Measures", and reconciled under "Non-GAAP Financial Measures" to the GAAP measure of net premiums earned.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Net Premiums Written(1) and Net Premiums Earned</w:t>
      </w:r>
    </w:p>
    <w:p>
      <w:pPr>
        <w:spacing w:after="0" w:line="23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Net premiums written increased $16,584,000, or 27.2%, to $77,593,000 in the Three Months of 2026 from $61,009,000 in the Three Months of 2025. Net premiums written include direct premiums, less the amount of written premiums ceded under our reinsurance treaties (quota share, excess of loss, and catastrophe). The increase in the Three Months of 2026 is primarily due to changes to our personal lines quota share reinsurance treaty, the additional premiums due to the organic growth from the Change in Market Dynamics in the New York market and to a lesser extent an increase in rates primarily from an increase in replacement costs, See quota share reinsurance treaties discussion below.</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___________________</w:t>
      </w:r>
    </w:p>
    <w:p>
      <w:pPr>
        <w:spacing w:after="0" w:line="221" w:lineRule="exact"/>
        <w:rPr>
          <w:sz w:val="20"/>
          <w:szCs w:val="20"/>
          <w:color w:val="auto"/>
        </w:rPr>
      </w:pPr>
    </w:p>
    <w:p>
      <w:pPr>
        <w:ind w:firstLine="656"/>
        <w:spacing w:after="0" w:line="298" w:lineRule="auto"/>
        <w:tabs>
          <w:tab w:leader="none" w:pos="891"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written premiums is a non-GAAP measure, defined above under "Key GAAP and Non-GAAP Measures", and reconciled under "Non-GAAP Financial Measures" to the GAAP measure of net premiums earned.</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Quota share reinsurance treaties</w:t>
      </w:r>
    </w:p>
    <w:p>
      <w:pPr>
        <w:spacing w:after="0" w:line="22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Effective January 1, 2025, we entered into a 16% quota share reinsurance treaty for our personal lines business, covering the period from January 1, 2025 through January 1, 2026 (“2025/2026 Treaty”). Upon expiration of the 2025/2026 Treaty on January 1, 2026, we entered into a new 5% quota share reinsurance treaty for our personal lines business written in all states except California (for which the Company entered into a new 30% quota share reinsurance treaty) covering the period from January 1, 2026 through January 1,</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2027 (“2026/2027 Treaty”). Our personal lines business was subject to the 2026/2027 Treaty in the Three Months of 2026, and the 2025/2026 Treaty in the Three Months of 2025. In the Three Months of 2026, our premiums ceded under quota share treaties decreased by $6,134,000 in comparison to premiums ceded under quota share treaties in the Three Months of 2025 (see table above). The decrease in the Three Months of 2026 was attributable to the decrease in the quota share ceding percentage rate, offset by an increase in direct written premiums subject to the 2026/2027 Treaty compared to direct premiums written subject to the 2025/2026 Treaty. The inception of the 2026/2027 Treaty was recorded as a cutoff, resulting in the return of $13,277,000 from reinsurers to us of previously ceded premiums written that were unearned as of January 1, 2026. The inception of the 2025/2026 Treaty was recorded as a cutoff, resulting in the return of $11,471,000 from reinsurers to us of previously ceded premiums written that were unearned as of January 1, 2025.</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Excess of loss reinsurance treaties</w:t>
      </w:r>
    </w:p>
    <w:p>
      <w:pPr>
        <w:spacing w:after="0" w:line="12"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6"/>
          <w:szCs w:val="16"/>
          <w:color w:val="auto"/>
        </w:rPr>
        <w:t>In the Three Months of 2026, our ceded excess of loss reinsurance premiums increased $213,000 compared to the ceded excess of loss premiums for the Three Months of 2025. Effective January 1, 2025, we renewed an underlying excess of loss reinsurance treaty (the “Underlying XOL Treaty”) covering the period from January 1, 2025 through June 30, 2025. The Underlying XOL Treaty provided 50% reinsurance coverage for losses of $400,000 in excess of $600,000. Losses from named storms were excluded from the Underlying XOL Treaty. Effective July 1, 2025, the Underlying XOL Treaty was renewed along with the Company's excess of loss reinsurance treaty covering the period from July 1, 2025 through June 30, 2026. Combined, the renewed treaties provide 50% reinsurance coverage for losses of $250,000 in excess of $750,000, and 100% reinsurance coverage for losses in excess of $1,000,000 up to $9,000,000 together with facultative coverage. Retention was increased to $825,000 from $715,000 under the 2025/2026 Treaty.</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Catastrophe reinsurance treaties</w:t>
      </w:r>
    </w:p>
    <w:p>
      <w:pPr>
        <w:spacing w:after="0" w:line="26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Most of the premiums written under our personal lines policies are also subject to our catastrophe reinsurance treaties. An increase in our personal lines business historically gave rise to more property exposure, which increased our exposure to catastrophe risk; therefore, our premiums ceded under catastrophe treaties would increase. An increase in our personal lines business historically resulted in an increase in premiums ceded under our catastrophe treaties if reinsurance rates were stable or were increasing. With regard to treaties entered into on July 1, 2025 ("2025/2026 Catastrophe Treaty") and 2024 ("2024/2025 Catastrophe Treaty"), we recorded our catastrophe premiums written for the entire treaty period covering July 1 through June 30, resulting in the entire annual premium written being recorded in the third quarter of 2025 and 2024, respectively. The 2025/2026 Catastrophe Treaty covers 80% of losses on the first layer of 5,000,000 in excess of $5,000,000 (catastrophe coverage of $4,000,000), and losses of $440,000,000 in excess of $10,000,000 (catastrophe coverage of $430,000,000), for a total catastrophe coverage of $434,000,000. The 2024/2025 Catastrophe Treaty covered 95% of losses on the first layer of $5,000,000 in excess of $5,000,000 (catastrophe coverage of $4,750,000), and losses of $280,000,000 in excess of $10,000,000 (catastrophe coverage of $270,000,000), for a total catastrophe coverage of $274,750,000. Catastrophe coverage under the 2025/2026 Catastrophe Treaty increased by $159,250,000 compared to the 2024/2025 Catastrophe Treaty. As a result of recording the entire annual catastrophe premiums at the inception of the treaties, catastrophe premiums in subsequent quarters would be due to premium adjustments. In the Three Months of 2026, our premiums ceded under our catastrophe treaties was $764,000 in comparison to no premiums ceded under catastrophe treaties in the Three Months of 2025 (see table above). The change in the Three Months of 2026 was due reinstatement premiums related to winter catastrophe losses, offset by a no loss bonus from one of our reinsurers.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Net premiums earned</w:t>
      </w:r>
    </w:p>
    <w:p>
      <w:pPr>
        <w:spacing w:after="0" w:line="23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Net premiums earned increased $12,346,000, or 28.4%, to $55,869,000 in the Three Months of 2026 from $43,523,000 in the Three Months of 2025. The increase was due to the 11 percentage point reduction in quota share rates discussed above, and the increase in premiums from the Change in Market Dynamics, partially offset by an increase in catastrophe premiums due to the increase in catastrophe coverage reflected in ceded catastrophe premiums earned.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Ceding Commission Revenue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summarizes the changes in the components of ceding commission revenue (in thousands) for the periods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2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9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tcPr>
          <w:p>
            <w:pPr>
              <w:spacing w:after="0"/>
              <w:rPr>
                <w:sz w:val="17"/>
                <w:szCs w:val="17"/>
                <w:color w:val="auto"/>
              </w:rPr>
            </w:pPr>
          </w:p>
        </w:tc>
        <w:tc>
          <w:tcPr>
            <w:tcW w:w="16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31"/>
        </w:trPr>
        <w:tc>
          <w:tcPr>
            <w:tcW w:w="4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Provisional ceding commissions earned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0" w:type="dxa"/>
            <w:vAlign w:val="bottom"/>
          </w:tcPr>
          <w:p>
            <w:pPr>
              <w:spacing w:after="0"/>
              <w:rPr>
                <w:sz w:val="1"/>
                <w:szCs w:val="1"/>
                <w:color w:val="auto"/>
              </w:rPr>
            </w:pPr>
          </w:p>
        </w:tc>
      </w:tr>
      <w:tr>
        <w:trPr>
          <w:trHeight w:val="210"/>
        </w:trPr>
        <w:tc>
          <w:tcPr>
            <w:tcW w:w="4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Contingent ceding commissions earned</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0" w:type="dxa"/>
            <w:vAlign w:val="bottom"/>
          </w:tcPr>
          <w:p>
            <w:pPr>
              <w:spacing w:after="0"/>
              <w:rPr>
                <w:sz w:val="1"/>
                <w:szCs w:val="1"/>
                <w:color w:val="auto"/>
              </w:rPr>
            </w:pPr>
          </w:p>
        </w:tc>
      </w:tr>
      <w:tr>
        <w:trPr>
          <w:trHeight w:val="33"/>
        </w:trPr>
        <w:tc>
          <w:tcPr>
            <w:tcW w:w="4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ceding commission revenue</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2,959</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0" w:type="dxa"/>
            <w:vAlign w:val="bottom"/>
          </w:tcPr>
          <w:p>
            <w:pPr>
              <w:spacing w:after="0"/>
              <w:rPr>
                <w:sz w:val="1"/>
                <w:szCs w:val="1"/>
                <w:color w:val="auto"/>
              </w:rPr>
            </w:pPr>
          </w:p>
        </w:tc>
      </w:tr>
      <w:tr>
        <w:trPr>
          <w:trHeight w:val="24"/>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right="20" w:firstLine="648"/>
        <w:spacing w:after="0" w:line="298" w:lineRule="auto"/>
        <w:rPr>
          <w:sz w:val="20"/>
          <w:szCs w:val="20"/>
          <w:color w:val="auto"/>
        </w:rPr>
      </w:pPr>
      <w:r>
        <w:rPr>
          <w:rFonts w:ascii="Times New Roman" w:cs="Times New Roman" w:eastAsia="Times New Roman" w:hAnsi="Times New Roman"/>
          <w:sz w:val="16"/>
          <w:szCs w:val="16"/>
          <w:color w:val="auto"/>
        </w:rPr>
        <w:t>Ceding commission revenue was $1,404,000 in the Three Months of 2026 compared to $2,959,000 in the Three Months of 2025. The decrease of $1,555,000 is explained below in the discussion of provisional ceding commissions earned and contingent ceding commissions earned.</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Provisional Ceding Commissions Earned</w:t>
      </w:r>
    </w:p>
    <w:p>
      <w:pPr>
        <w:spacing w:after="0" w:line="23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 the Three Months of 2026, we earned provisional ceding commissions of $1,277,000 from personal lines earned premiums ceded under the 2026/2027 Treaty, and in the Three Months of 2025, we earned provisional ceding commissions of $3,252,000 from personal lines earned premiums ceded under the 2025/2026 Treaty. The decrease of $1,975,000 in provisional ceding commissions earned was due to the decrease in premiums ceded under these treaties during the Three Months of 2026 compared to the Three Months of 2025, offset by an increase in ceding commission rates under the 2026/2027 Treaty.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Contingent Ceding Commissions Earned</w:t>
      </w:r>
    </w:p>
    <w:p>
      <w:pPr>
        <w:spacing w:after="0" w:line="22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Under our 2025/2026 Treaty and prior years’ quota share treaties before July 1, 2017, we received a contingent ceding commission based on a sliding scale of commission rates and ultimate treaty year loss ratio on the policies reinsured under this agreement based upon which contingent ceding commissions are earned. The sliding scale includes minimum and maximum commission rates in relation to specified ultimate loss ratio. The commission rate and contingent ceding commissions earned increase when the estimated ultimate loss ratio decreases and, conversely, the commission rate and contingent ceding commissions earned decrease when the estimated ultimate loss ratio increases. The lower the ceded loss ratio, the more contingent commission we received. The structure of the 2026/2027 Treaty calls for a fixed provisional ceding commission with no opportunity to earn additional contingent ceding commissions.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Net Investment Income</w:t>
      </w:r>
    </w:p>
    <w:p>
      <w:pPr>
        <w:spacing w:after="0" w:line="221"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Net investment income was $3,338,000 in the Three Months of 2026 compared to $2,049,000 in the Three Months of 2025, an increase of $1,289,000, or 62.9%, primarily due to an increase in cash generated from operations invested in fixed-income securities and an increase in average yield on non-cash invested assets. The average yield on non-cash invested assets was 4.3% as of March 31, 2026 compared to 3.7% as of March 31, 2025.</w:t>
      </w:r>
    </w:p>
    <w:p>
      <w:pPr>
        <w:spacing w:after="0" w:line="171"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Cash and invested assets were $324,793,000 as of March 31, 2026 compared to $321,867,000 as of March 31, 2025, an increase of $2,926,000, primarily driven by cash flows from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Net Losses on Investments</w:t>
      </w:r>
    </w:p>
    <w:p>
      <w:pPr>
        <w:spacing w:after="0" w:line="23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Net losses on investments were $1,015,000 in the Three Months of 2026 compared to net losses on investments of $138,000 in the Three Months of 2025. Unrealized losses on our equity securities and other investments in the Three Months of 2026 were $1,012,000, compared to unrealized losses on our equity securities and other investments of $136,000 in the Three Months of 2025. Net realized losses on sales of investments were $3,000 in the Three Months of 2026 compared to net realized losses on sales of investments of $2,000 in the Three Months of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Gain on Sale of Real Estate</w:t>
      </w:r>
    </w:p>
    <w:p>
      <w:pPr>
        <w:spacing w:after="0" w:line="21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6"/>
          <w:szCs w:val="16"/>
          <w:color w:val="auto"/>
        </w:rPr>
        <w:t xml:space="preserve">Gain on sale of real estate was </w:t>
      </w:r>
      <w:r>
        <w:rPr>
          <w:rFonts w:ascii="Times New Roman" w:cs="Times New Roman" w:eastAsia="Times New Roman" w:hAnsi="Times New Roman"/>
          <w:sz w:val="17"/>
          <w:szCs w:val="17"/>
          <w:color w:val="auto"/>
        </w:rPr>
        <w:t>$0</w:t>
      </w:r>
      <w:r>
        <w:rPr>
          <w:rFonts w:ascii="Times New Roman" w:cs="Times New Roman" w:eastAsia="Times New Roman" w:hAnsi="Times New Roman"/>
          <w:sz w:val="16"/>
          <w:szCs w:val="16"/>
          <w:color w:val="auto"/>
        </w:rPr>
        <w:t xml:space="preserve"> in the Three Months of 2026 compared to $1,966,000 in the Three Months of 2025. On March 19, 2025 one of our subsidiaries closed on the sale of our headquarters building in Kingston, New York, along with an adjacent mixed-use property (collectively, the “Property”). The purchase price for the Property was $3,600,000. We are now renting a smaller facility in Kingston, New York.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Other Income</w:t>
      </w:r>
    </w:p>
    <w:p>
      <w:pPr>
        <w:spacing w:after="0" w:line="2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Other income was $181,000 in the Three Months of 2026 compared to $140,000 in the Three Months of 2025, an increase of $41,000, or 29.3%.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Net Loss and LAE</w:t>
      </w:r>
    </w:p>
    <w:p>
      <w:pPr>
        <w:spacing w:after="0" w:line="221" w:lineRule="exact"/>
        <w:rPr>
          <w:sz w:val="20"/>
          <w:szCs w:val="20"/>
          <w:color w:val="auto"/>
        </w:rPr>
      </w:pPr>
    </w:p>
    <w:p>
      <w:pPr>
        <w:jc w:val="both"/>
        <w:ind w:right="20" w:firstLine="648"/>
        <w:spacing w:after="0" w:line="298" w:lineRule="auto"/>
        <w:rPr>
          <w:sz w:val="20"/>
          <w:szCs w:val="20"/>
          <w:color w:val="auto"/>
        </w:rPr>
      </w:pPr>
      <w:r>
        <w:rPr>
          <w:rFonts w:ascii="Times New Roman" w:cs="Times New Roman" w:eastAsia="Times New Roman" w:hAnsi="Times New Roman"/>
          <w:sz w:val="16"/>
          <w:szCs w:val="16"/>
          <w:color w:val="auto"/>
        </w:rPr>
        <w:t>Net loss and LAE was $45,574,000 for the Three Months of 2026 compared to $27,175,000 for the Three Months of 2025. The net loss ratio was 81.6% in the Three Months of 2026 compared to 62.4% in the Three Months of 2025, an increase of 19.2 percentage points.</w:t>
      </w:r>
    </w:p>
    <w:p>
      <w:pPr>
        <w:spacing w:after="0" w:line="164" w:lineRule="exact"/>
        <w:rPr>
          <w:sz w:val="20"/>
          <w:szCs w:val="20"/>
          <w:color w:val="auto"/>
        </w:rPr>
      </w:pPr>
    </w:p>
    <w:p>
      <w:pPr>
        <w:jc w:val="both"/>
        <w:ind w:firstLine="607"/>
        <w:spacing w:after="0" w:line="252" w:lineRule="auto"/>
        <w:rPr>
          <w:sz w:val="20"/>
          <w:szCs w:val="20"/>
          <w:color w:val="auto"/>
        </w:rPr>
      </w:pPr>
      <w:r>
        <w:rPr>
          <w:rFonts w:ascii="Times New Roman" w:cs="Times New Roman" w:eastAsia="Times New Roman" w:hAnsi="Times New Roman"/>
          <w:sz w:val="16"/>
          <w:szCs w:val="16"/>
          <w:color w:val="auto"/>
        </w:rPr>
        <w:t>The higher loss ratio in the Three Months of 2026 is due to a greater impact from catastrophes, in particular several large winter storm catastrophe events from January and February. The largest of these events was an extended period of subfreezing temperatures in early February resulting in a large number of pipe freeze claims. The total net catastrophe impact for the Three Months of 2026 was $14,499,000, which contributed 26.0 points to the loss ratio. By comparison, the catastrophe impact for the Three Months of 2025 was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9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1.7 points. Favorable prior accident year reserve development decreased the net loss ratio by 2.3 points during the Three Months of 2026 as compared to decreasing the net loss ratio by 1.4 points during the Three Months of 2025. For the Three Months of 2026, property claims overall developed better than expected, driven primarily by reserve takedowns on several large fire claims from accident years 2024 and 2025 as well as a large subrogation recovery on a water damage claim from accident year 2023, resulting in favorable development. For the Three Months of 2025, the favorable prior accident year reserve development was attributable to reserve takedowns on several large fire and water damage claims from accident years 2022 through 2024.</w:t>
      </w:r>
    </w:p>
    <w:p>
      <w:pPr>
        <w:spacing w:after="0" w:line="205" w:lineRule="exact"/>
        <w:rPr>
          <w:sz w:val="20"/>
          <w:szCs w:val="20"/>
          <w:color w:val="auto"/>
        </w:rPr>
      </w:pPr>
    </w:p>
    <w:p>
      <w:pPr>
        <w:jc w:val="both"/>
        <w:ind w:firstLine="607"/>
        <w:spacing w:after="0" w:line="232" w:lineRule="auto"/>
        <w:rPr>
          <w:sz w:val="20"/>
          <w:szCs w:val="20"/>
          <w:color w:val="auto"/>
        </w:rPr>
      </w:pPr>
      <w:r>
        <w:rPr>
          <w:rFonts w:ascii="Times New Roman" w:cs="Times New Roman" w:eastAsia="Times New Roman" w:hAnsi="Times New Roman"/>
          <w:sz w:val="16"/>
          <w:szCs w:val="16"/>
          <w:color w:val="auto"/>
        </w:rPr>
        <w:t>The underlying loss ratio</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(loss ratio excluding the impact of catastrophes and prior accident year reserve development) was 57.9% for the Three Months of 2026, a decrease of 4.2 points from the 62.1% underlying loss ratio recorded for the Three Months of 2025. The improvement in the underlying loss ratio for the Three Months of 2026 as compared to the Three Months of 2025 was primarily due to low non-catastrophe loss frequency, higher average premium, and continued discipline in underwriting. Reported personal lines non-catastrophe claim frequency for the Three Months of 2026 was in line with the historical average while non-catastrophe severity was higher due to a greater impact from large fire claims. However, a significant portion of the incurred loss related to the large claims was ceded to our per risk excess of loss treaty, resulting in a lower impact on a net basis. Excluding amounts ceded to the per risk excess of loss treaty and adjusting for inflation, severity for the Three Months of 2026 was comparable to the Three Months of 2025.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w:t>
      </w:r>
    </w:p>
    <w:p>
      <w:pPr>
        <w:spacing w:after="0" w:line="235" w:lineRule="exact"/>
        <w:rPr>
          <w:sz w:val="20"/>
          <w:szCs w:val="20"/>
          <w:color w:val="auto"/>
        </w:rPr>
      </w:pPr>
    </w:p>
    <w:p>
      <w:pPr>
        <w:ind w:firstLine="615"/>
        <w:spacing w:after="0" w:line="280" w:lineRule="auto"/>
        <w:tabs>
          <w:tab w:leader="none" w:pos="854"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Underlying loss ratio is a non-GAAP ratio, which is computed as the GAAP net loss ratio excluding the effect of prior year loss reserve development and catastrophe losses. See "Non-GAAP Financial Measures" for a reconciliation of underlying loss ratio to the GAAP measure of net loss ratio.</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See table below under “Additional Financial Information” summarizing net loss ratios by line of business.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Commission Expense</w:t>
      </w:r>
    </w:p>
    <w:p>
      <w:pPr>
        <w:spacing w:after="0" w:line="20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6"/>
          <w:szCs w:val="16"/>
          <w:color w:val="auto"/>
        </w:rPr>
        <w:t>Commission expense was $10,195,000 in the Three Months of 2026 or 14.6% of direct earned premiums. Commission expense was $9,313,000 in the Three Months of 2025 or 15.4% of direct earned premiums The increase of $882,000 in the Three Months of 2026 compared to the Three Months of 2025 was primarily due to an increase in direct earned premiums of $9,344,000, partially offset by a decrease of $255,000 for an accrual of estimated contingent commission based on the profitability of the business.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Other Underwriting Expenses</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6"/>
          <w:szCs w:val="16"/>
          <w:color w:val="auto"/>
        </w:rPr>
        <w:t>Other underwriting expenses were $8,361,000 in the Three Months of 2026 compared to $7,405,000 in the Three Months of 2025. The increase of $956,000, or 12.9%, was primarily due to increases in salaries and employment costs as described below, an increase in premium taxes due to the growth in direct earned premiums, and an increase in DFS regulatory fees.</w:t>
      </w:r>
    </w:p>
    <w:p>
      <w:pPr>
        <w:spacing w:after="0" w:line="17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6"/>
          <w:szCs w:val="16"/>
          <w:color w:val="auto"/>
        </w:rPr>
        <w:t>Our largest single component of other underwriting expenses is salaries and employment costs, with costs of $3,865,000 in the Three Months of 2026 compared to $3,351,000 in the Three Months of 2025. Salaries and employment costs were 6.9 points of the net underwriting expense ratio in the Three Months of 2026, a reduction of 0.8 points from 7.7 points in the Three Months of 2025 primarily due to the economies of scale with the increase in net premiums earned. The dollar increase in salaries and employment costs was due to annual salary increases, and strengthening of our professional team by investing in hiring talent with insurance industry experience due to the growth in premiums written and anticipated new business in accordance with our 5-Year Growth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Our net underwriting expense ratio in the Three Months of 2026 was 30.4%, compared with 31.3% in the Three Months of 2025. The following table shows the individual components of our net underwriting expense ratio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20" w:type="dxa"/>
            <w:vAlign w:val="bottom"/>
          </w:tcPr>
          <w:p>
            <w:pPr>
              <w:spacing w:after="0"/>
              <w:rPr>
                <w:sz w:val="16"/>
                <w:szCs w:val="16"/>
                <w:color w:val="auto"/>
              </w:rPr>
            </w:pPr>
          </w:p>
        </w:tc>
        <w:tc>
          <w:tcPr>
            <w:tcW w:w="2700" w:type="dxa"/>
            <w:vAlign w:val="bottom"/>
            <w:gridSpan w:val="4"/>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8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6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Point Change</w:t>
            </w:r>
          </w:p>
        </w:tc>
        <w:tc>
          <w:tcPr>
            <w:tcW w:w="0" w:type="dxa"/>
            <w:vAlign w:val="bottom"/>
          </w:tcPr>
          <w:p>
            <w:pPr>
              <w:spacing w:after="0"/>
              <w:rPr>
                <w:sz w:val="1"/>
                <w:szCs w:val="1"/>
                <w:color w:val="auto"/>
              </w:rPr>
            </w:pPr>
          </w:p>
        </w:tc>
      </w:tr>
      <w:tr>
        <w:trPr>
          <w:trHeight w:val="31"/>
        </w:trPr>
        <w:tc>
          <w:tcPr>
            <w:tcW w:w="64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Other underwriting expenses</w:t>
            </w: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2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Employment costs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10"/>
        </w:trPr>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Underwriting fees (inspections/surveys)</w:t>
            </w: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IT expenses</w:t>
            </w:r>
          </w:p>
        </w:tc>
        <w:tc>
          <w:tcPr>
            <w:tcW w:w="5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0"/>
        </w:trPr>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Professional fees</w:t>
            </w: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expenses</w:t>
            </w:r>
          </w:p>
        </w:tc>
        <w:tc>
          <w:tcPr>
            <w:tcW w:w="5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04"/>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underwriting expenses</w:t>
            </w:r>
          </w:p>
        </w:tc>
        <w:tc>
          <w:tcPr>
            <w:tcW w:w="10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33"/>
        </w:trPr>
        <w:tc>
          <w:tcPr>
            <w:tcW w:w="64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Commission expense</w:t>
            </w: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21.4</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33"/>
        </w:trPr>
        <w:tc>
          <w:tcPr>
            <w:tcW w:w="64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Ceding commission revenue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Provisional</w:t>
            </w: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0"/>
        </w:trPr>
        <w:tc>
          <w:tcPr>
            <w:tcW w:w="74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Contingent</w:t>
            </w:r>
          </w:p>
        </w:tc>
        <w:tc>
          <w:tcPr>
            <w:tcW w:w="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33"/>
        </w:trPr>
        <w:tc>
          <w:tcPr>
            <w:tcW w:w="64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ceding commission revenue</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50"/>
        </w:trPr>
        <w:tc>
          <w:tcPr>
            <w:tcW w:w="642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642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underwriting expense ratio</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(Components may not sum to totals due to rounding)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Other Operating Expenses</w:t>
      </w:r>
    </w:p>
    <w:p>
      <w:pPr>
        <w:spacing w:after="0" w:line="235"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Other operating expenses were $2,261,000 for the Three Months of 2026 compared to $1,036,000 for the Three Months of 2025. The following table shows a breakdown of the significant components of other operating expenses for the periods indicated:</w:t>
      </w:r>
    </w:p>
    <w:p>
      <w:pPr>
        <w:spacing w:after="0" w:line="203" w:lineRule="exact"/>
        <w:rPr>
          <w:sz w:val="20"/>
          <w:szCs w:val="20"/>
          <w:color w:val="auto"/>
        </w:rPr>
      </w:pPr>
    </w:p>
    <w:p>
      <w:pPr>
        <w:jc w:val="center"/>
        <w:ind w:left="17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5" w:lineRule="exact"/>
        <w:rPr>
          <w:sz w:val="20"/>
          <w:szCs w:val="20"/>
          <w:color w:val="auto"/>
        </w:rPr>
      </w:pPr>
    </w:p>
    <w:p>
      <w:pPr>
        <w:jc w:val="center"/>
        <w:ind w:left="17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6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31"/>
        </w:trPr>
        <w:tc>
          <w:tcPr>
            <w:tcW w:w="4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460"/>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3"/>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3"/>
        </w:trPr>
        <w:tc>
          <w:tcPr>
            <w:tcW w:w="49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Employment costs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0"/>
        </w:trPr>
        <w:tc>
          <w:tcPr>
            <w:tcW w:w="49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Executive bonus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(100.0)</w:t>
            </w:r>
          </w:p>
        </w:tc>
      </w:tr>
      <w:tr>
        <w:trPr>
          <w:trHeight w:val="33"/>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3"/>
        </w:trPr>
        <w:tc>
          <w:tcPr>
            <w:tcW w:w="49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Equity compensation</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92.9</w:t>
            </w:r>
          </w:p>
        </w:tc>
      </w:tr>
      <w:tr>
        <w:trPr>
          <w:trHeight w:val="210"/>
        </w:trPr>
        <w:tc>
          <w:tcPr>
            <w:tcW w:w="49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Professional</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33"/>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3"/>
        </w:trPr>
        <w:tc>
          <w:tcPr>
            <w:tcW w:w="49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Directors fees</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86.4</w:t>
            </w:r>
          </w:p>
        </w:tc>
      </w:tr>
      <w:tr>
        <w:trPr>
          <w:trHeight w:val="210"/>
        </w:trPr>
        <w:tc>
          <w:tcPr>
            <w:tcW w:w="49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Insurance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8"/>
                <w:szCs w:val="18"/>
                <w:color w:val="auto"/>
              </w:rPr>
            </w:pPr>
          </w:p>
        </w:tc>
        <w:tc>
          <w:tcPr>
            <w:tcW w:w="16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(38.3)</w:t>
            </w:r>
          </w:p>
        </w:tc>
      </w:tr>
      <w:tr>
        <w:trPr>
          <w:trHeight w:val="33"/>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3"/>
        </w:trPr>
        <w:tc>
          <w:tcPr>
            <w:tcW w:w="498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(100.0)</w:t>
            </w:r>
          </w:p>
        </w:tc>
      </w:tr>
      <w:tr>
        <w:trPr>
          <w:trHeight w:val="210"/>
        </w:trPr>
        <w:tc>
          <w:tcPr>
            <w:tcW w:w="49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Other expenses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8"/>
                <w:szCs w:val="18"/>
                <w:color w:val="auto"/>
              </w:rPr>
            </w:pPr>
          </w:p>
        </w:tc>
        <w:tc>
          <w:tcPr>
            <w:tcW w:w="1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9.7</w:t>
            </w:r>
          </w:p>
        </w:tc>
      </w:tr>
      <w:tr>
        <w:trPr>
          <w:trHeight w:val="33"/>
        </w:trPr>
        <w:tc>
          <w:tcPr>
            <w:tcW w:w="4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1"/>
        </w:trPr>
        <w:tc>
          <w:tcPr>
            <w:tcW w:w="49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other operating expenses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(Components may not sum to totals due to rounding)</w:t>
      </w:r>
    </w:p>
    <w:p>
      <w:pPr>
        <w:spacing w:after="0" w:line="237" w:lineRule="exact"/>
        <w:rPr>
          <w:sz w:val="20"/>
          <w:szCs w:val="20"/>
          <w:color w:val="auto"/>
        </w:rPr>
      </w:pPr>
    </w:p>
    <w:p>
      <w:pPr>
        <w:jc w:val="both"/>
        <w:ind w:firstLine="607"/>
        <w:spacing w:after="0" w:line="263" w:lineRule="auto"/>
        <w:rPr>
          <w:sz w:val="20"/>
          <w:szCs w:val="20"/>
          <w:color w:val="auto"/>
        </w:rPr>
      </w:pPr>
      <w:r>
        <w:rPr>
          <w:rFonts w:ascii="Times New Roman" w:cs="Times New Roman" w:eastAsia="Times New Roman" w:hAnsi="Times New Roman"/>
          <w:sz w:val="16"/>
          <w:szCs w:val="16"/>
          <w:color w:val="auto"/>
        </w:rPr>
        <w:t>The increase in the Three Months of 2026 of $1,225,000, or 118.2%, as compared to the Three Months of 2025 was primarily due to an increase in equity compensation and professional fees, partially offset by a decrease in loss on extinguishment of debt. The increase in equity compensation is due to additional restricted stock awards granted to our senior leadership team as of December 31,</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2025 pursuant to our employee bonus plan, and to our CEO and CFO pursuant to their respective employment agreements. The increase in professional fees is due to legal fees incurred related to board level projects and additional accounting expenses incurred related to our new requirement for the audit of our internal control over financial reporting. The reduction in loss on extinguishment of debt loss is due to writing off the balance of unamortized debt issue costs upon the prepayment of the 2024 Notes in the Three Months of 2025 as disclosed in Note 7 to the condensed consolidated financial statements.</w:t>
      </w:r>
    </w:p>
    <w:p>
      <w:pPr>
        <w:spacing w:after="0" w:line="193"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Depreciation and amortization was $716,000 in the Three Months of 2026 compared to $624,000 in the Three Months of 2025. The increase of $92,000, or 14.7%, in depreciation and amortization was primarily due to the difference between additional depreciation on software acquired compared to software being fully depreciated.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Interest Expense</w:t>
      </w:r>
    </w:p>
    <w:p>
      <w:pPr>
        <w:spacing w:after="0" w:line="23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Interest expense in the Three Months of 2026 was $70,000 compared to $227,000 in the Three Months of 2025, a decrease of $157,000 or 69.2%. In the Three Months of 2025, as disclosed in Note 7 to the condensed consolidated financial statements, we incurred interest expense in connection with the 2024 Notes which were paid off in the first Three Months of 2025. In addition, we also incurred interest expense on the 2022 equipment financing.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Income Tax (Benefit) Expense</w:t>
      </w:r>
    </w:p>
    <w:p>
      <w:pPr>
        <w:spacing w:after="0" w:line="2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Income tax (benefit) in the Three Months of 2026 was $(1,593,000), which resulted in an effective tax rate of 21.5%. Income tax expense in the Three Months of 2025 was $836,000, which resulted in an effective tax rate of 17.7%. The difference in effective tax rate is due to the effect of permanent differences in the Three Months of 2026 compared to the Three Months of 2025. In the Three Months of 2026, the vesting of restricted stock awards resulted in an income tax benefit, due to the increase in the stock price on the vesting date as compared to the grant date, which had the effect of reducing the effective tax rate. In the Three Months of 2025, the vesting of restricted stock awards resulted in an income tax benefit, due to the increase in the stock price on the vesting date as compared to the grant date, which had the effect of reducing the effective tax rate. In the Three Months of 2026, the increase in stock price was not as great as the increase in the Three Months of 2025 on the vesting of restricted stock awards, resulting in a lower tax benefit, which had the effect of increasing the effective tax rate when compared to the prior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Net (Loss) Income</w:t>
      </w:r>
    </w:p>
    <w:p>
      <w:pPr>
        <w:spacing w:after="0" w:line="221"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Net (loss) was $(5,808,000) in the Three Months of 2026 compared to net income of $3,883,000 in the Three Months of 2025. The decrease in net income of $9,691,000 was due to the items described above.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Financial Information</w:t>
      </w:r>
    </w:p>
    <w:p>
      <w:pPr>
        <w:spacing w:after="0" w:line="237" w:lineRule="exact"/>
        <w:rPr>
          <w:sz w:val="20"/>
          <w:szCs w:val="20"/>
          <w:color w:val="auto"/>
        </w:rPr>
      </w:pPr>
    </w:p>
    <w:p>
      <w:pPr>
        <w:jc w:val="both"/>
        <w:ind w:firstLine="607"/>
        <w:spacing w:after="0" w:line="263" w:lineRule="auto"/>
        <w:rPr>
          <w:sz w:val="20"/>
          <w:szCs w:val="20"/>
          <w:color w:val="auto"/>
        </w:rPr>
      </w:pPr>
      <w:r>
        <w:rPr>
          <w:rFonts w:ascii="Times New Roman" w:cs="Times New Roman" w:eastAsia="Times New Roman" w:hAnsi="Times New Roman"/>
          <w:sz w:val="16"/>
          <w:szCs w:val="16"/>
          <w:color w:val="auto"/>
        </w:rPr>
        <w:t>We operate our business as one segment, property and casualty insurance. Within this segment, we offer an array of property and casualty policies through our producers. The following table summarizes gross and net written premiums, net premiums earned, and net loss and loss adjustment expenses by major product type, which were determined based primarily on similar economic characteristics and risks of loss.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8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0" w:type="dxa"/>
            <w:vAlign w:val="bottom"/>
          </w:tcPr>
          <w:p>
            <w:pPr>
              <w:spacing w:after="0"/>
              <w:rPr>
                <w:sz w:val="1"/>
                <w:szCs w:val="1"/>
                <w:color w:val="auto"/>
              </w:rPr>
            </w:pPr>
          </w:p>
        </w:tc>
      </w:tr>
      <w:tr>
        <w:trPr>
          <w:trHeight w:val="31"/>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Direct premiums written(1):</w:t>
            </w: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2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7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Personal lines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65,924,498</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54,312,913</w:t>
            </w: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Livery physical damage</w:t>
            </w:r>
          </w:p>
        </w:tc>
        <w:tc>
          <w:tcPr>
            <w:tcW w:w="40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3,662,476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3,847,046</w:t>
            </w:r>
          </w:p>
        </w:tc>
        <w:tc>
          <w:tcPr>
            <w:tcW w:w="0" w:type="dxa"/>
            <w:vAlign w:val="bottom"/>
          </w:tcPr>
          <w:p>
            <w:pPr>
              <w:spacing w:after="0"/>
              <w:rPr>
                <w:sz w:val="1"/>
                <w:szCs w:val="1"/>
                <w:color w:val="auto"/>
              </w:rPr>
            </w:pPr>
          </w:p>
        </w:tc>
      </w:tr>
      <w:tr>
        <w:trPr>
          <w:trHeight w:val="33"/>
        </w:trPr>
        <w:tc>
          <w:tcPr>
            <w:tcW w:w="7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Other(1)</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16,407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15,037</w:t>
            </w:r>
          </w:p>
        </w:tc>
        <w:tc>
          <w:tcPr>
            <w:tcW w:w="0" w:type="dxa"/>
            <w:vAlign w:val="bottom"/>
          </w:tcPr>
          <w:p>
            <w:pPr>
              <w:spacing w:after="0"/>
              <w:rPr>
                <w:sz w:val="1"/>
                <w:szCs w:val="1"/>
                <w:color w:val="auto"/>
              </w:rPr>
            </w:pPr>
          </w:p>
        </w:tc>
      </w:tr>
      <w:tr>
        <w:trPr>
          <w:trHeight w:val="204"/>
        </w:trPr>
        <w:tc>
          <w:tcPr>
            <w:tcW w:w="7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gross premiums written</w:t>
            </w:r>
          </w:p>
        </w:tc>
        <w:tc>
          <w:tcPr>
            <w:tcW w:w="4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69,603,381</w:t>
            </w:r>
          </w:p>
        </w:tc>
        <w:tc>
          <w:tcPr>
            <w:tcW w:w="100" w:type="dxa"/>
            <w:vAlign w:val="bottom"/>
          </w:tcPr>
          <w:p>
            <w:pPr>
              <w:spacing w:after="0"/>
              <w:rPr>
                <w:sz w:val="17"/>
                <w:szCs w:val="17"/>
                <w:color w:val="auto"/>
              </w:rPr>
            </w:pPr>
          </w:p>
        </w:tc>
        <w:tc>
          <w:tcPr>
            <w:tcW w:w="64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58,174,996</w:t>
            </w:r>
          </w:p>
        </w:tc>
        <w:tc>
          <w:tcPr>
            <w:tcW w:w="0" w:type="dxa"/>
            <w:vAlign w:val="bottom"/>
          </w:tcPr>
          <w:p>
            <w:pPr>
              <w:spacing w:after="0"/>
              <w:rPr>
                <w:sz w:val="1"/>
                <w:szCs w:val="1"/>
                <w:color w:val="auto"/>
              </w:rPr>
            </w:pPr>
          </w:p>
        </w:tc>
      </w:tr>
      <w:tr>
        <w:trPr>
          <w:trHeight w:val="33"/>
        </w:trPr>
        <w:tc>
          <w:tcPr>
            <w:tcW w:w="78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premiums written(1):</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Personal lines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73,912,340</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57,145,389</w:t>
            </w: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Livery physical damage</w:t>
            </w:r>
          </w:p>
        </w:tc>
        <w:tc>
          <w:tcPr>
            <w:tcW w:w="40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3,662,476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3,847,046</w:t>
            </w:r>
          </w:p>
        </w:tc>
        <w:tc>
          <w:tcPr>
            <w:tcW w:w="0" w:type="dxa"/>
            <w:vAlign w:val="bottom"/>
          </w:tcPr>
          <w:p>
            <w:pPr>
              <w:spacing w:after="0"/>
              <w:rPr>
                <w:sz w:val="1"/>
                <w:szCs w:val="1"/>
                <w:color w:val="auto"/>
              </w:rPr>
            </w:pPr>
          </w:p>
        </w:tc>
      </w:tr>
      <w:tr>
        <w:trPr>
          <w:trHeight w:val="33"/>
        </w:trPr>
        <w:tc>
          <w:tcPr>
            <w:tcW w:w="7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Other(2)</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18,421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16,972</w:t>
            </w:r>
          </w:p>
        </w:tc>
        <w:tc>
          <w:tcPr>
            <w:tcW w:w="0" w:type="dxa"/>
            <w:vAlign w:val="bottom"/>
          </w:tcPr>
          <w:p>
            <w:pPr>
              <w:spacing w:after="0"/>
              <w:rPr>
                <w:sz w:val="1"/>
                <w:szCs w:val="1"/>
                <w:color w:val="auto"/>
              </w:rPr>
            </w:pPr>
          </w:p>
        </w:tc>
      </w:tr>
      <w:tr>
        <w:trPr>
          <w:trHeight w:val="204"/>
        </w:trPr>
        <w:tc>
          <w:tcPr>
            <w:tcW w:w="7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net premiums written</w:t>
            </w:r>
          </w:p>
        </w:tc>
        <w:tc>
          <w:tcPr>
            <w:tcW w:w="4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77,593,237</w:t>
            </w:r>
          </w:p>
        </w:tc>
        <w:tc>
          <w:tcPr>
            <w:tcW w:w="100" w:type="dxa"/>
            <w:vAlign w:val="bottom"/>
          </w:tcPr>
          <w:p>
            <w:pPr>
              <w:spacing w:after="0"/>
              <w:rPr>
                <w:sz w:val="17"/>
                <w:szCs w:val="17"/>
                <w:color w:val="auto"/>
              </w:rPr>
            </w:pPr>
          </w:p>
        </w:tc>
        <w:tc>
          <w:tcPr>
            <w:tcW w:w="64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61,009,407</w:t>
            </w:r>
          </w:p>
        </w:tc>
        <w:tc>
          <w:tcPr>
            <w:tcW w:w="0" w:type="dxa"/>
            <w:vAlign w:val="bottom"/>
          </w:tcPr>
          <w:p>
            <w:pPr>
              <w:spacing w:after="0"/>
              <w:rPr>
                <w:sz w:val="1"/>
                <w:szCs w:val="1"/>
                <w:color w:val="auto"/>
              </w:rPr>
            </w:pPr>
          </w:p>
        </w:tc>
      </w:tr>
      <w:tr>
        <w:trPr>
          <w:trHeight w:val="33"/>
        </w:trPr>
        <w:tc>
          <w:tcPr>
            <w:tcW w:w="78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premiums earned:</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Personal lines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52,289,709</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39,936,324</w:t>
            </w: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Livery physical damage</w:t>
            </w:r>
          </w:p>
        </w:tc>
        <w:tc>
          <w:tcPr>
            <w:tcW w:w="40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3,563,463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3,569,026</w:t>
            </w:r>
          </w:p>
        </w:tc>
        <w:tc>
          <w:tcPr>
            <w:tcW w:w="0" w:type="dxa"/>
            <w:vAlign w:val="bottom"/>
          </w:tcPr>
          <w:p>
            <w:pPr>
              <w:spacing w:after="0"/>
              <w:rPr>
                <w:sz w:val="1"/>
                <w:szCs w:val="1"/>
                <w:color w:val="auto"/>
              </w:rPr>
            </w:pPr>
          </w:p>
        </w:tc>
      </w:tr>
      <w:tr>
        <w:trPr>
          <w:trHeight w:val="33"/>
        </w:trPr>
        <w:tc>
          <w:tcPr>
            <w:tcW w:w="7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Other(2)</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15,642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17,713</w:t>
            </w:r>
          </w:p>
        </w:tc>
        <w:tc>
          <w:tcPr>
            <w:tcW w:w="0" w:type="dxa"/>
            <w:vAlign w:val="bottom"/>
          </w:tcPr>
          <w:p>
            <w:pPr>
              <w:spacing w:after="0"/>
              <w:rPr>
                <w:sz w:val="1"/>
                <w:szCs w:val="1"/>
                <w:color w:val="auto"/>
              </w:rPr>
            </w:pPr>
          </w:p>
        </w:tc>
      </w:tr>
      <w:tr>
        <w:trPr>
          <w:trHeight w:val="204"/>
        </w:trPr>
        <w:tc>
          <w:tcPr>
            <w:tcW w:w="7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net premiums earned</w:t>
            </w:r>
          </w:p>
        </w:tc>
        <w:tc>
          <w:tcPr>
            <w:tcW w:w="4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55,868,814</w:t>
            </w:r>
          </w:p>
        </w:tc>
        <w:tc>
          <w:tcPr>
            <w:tcW w:w="100" w:type="dxa"/>
            <w:vAlign w:val="bottom"/>
          </w:tcPr>
          <w:p>
            <w:pPr>
              <w:spacing w:after="0"/>
              <w:rPr>
                <w:sz w:val="17"/>
                <w:szCs w:val="17"/>
                <w:color w:val="auto"/>
              </w:rPr>
            </w:pPr>
          </w:p>
        </w:tc>
        <w:tc>
          <w:tcPr>
            <w:tcW w:w="64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43,523,063</w:t>
            </w:r>
          </w:p>
        </w:tc>
        <w:tc>
          <w:tcPr>
            <w:tcW w:w="0" w:type="dxa"/>
            <w:vAlign w:val="bottom"/>
          </w:tcPr>
          <w:p>
            <w:pPr>
              <w:spacing w:after="0"/>
              <w:rPr>
                <w:sz w:val="1"/>
                <w:szCs w:val="1"/>
                <w:color w:val="auto"/>
              </w:rPr>
            </w:pPr>
          </w:p>
        </w:tc>
      </w:tr>
      <w:tr>
        <w:trPr>
          <w:trHeight w:val="33"/>
        </w:trPr>
        <w:tc>
          <w:tcPr>
            <w:tcW w:w="78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and loss adjustment expenses(4):</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Personal lines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42,227,002</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24,731,759</w:t>
            </w: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Livery physical damage</w:t>
            </w:r>
          </w:p>
        </w:tc>
        <w:tc>
          <w:tcPr>
            <w:tcW w:w="40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1,622,061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1,458,305</w:t>
            </w:r>
          </w:p>
        </w:tc>
        <w:tc>
          <w:tcPr>
            <w:tcW w:w="0" w:type="dxa"/>
            <w:vAlign w:val="bottom"/>
          </w:tcPr>
          <w:p>
            <w:pPr>
              <w:spacing w:after="0"/>
              <w:rPr>
                <w:sz w:val="1"/>
                <w:szCs w:val="1"/>
                <w:color w:val="auto"/>
              </w:rPr>
            </w:pPr>
          </w:p>
        </w:tc>
      </w:tr>
      <w:tr>
        <w:trPr>
          <w:trHeight w:val="33"/>
        </w:trPr>
        <w:tc>
          <w:tcPr>
            <w:tcW w:w="7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Other(2)</w:t>
            </w: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62,488</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14,667</w:t>
            </w: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Unallocated loss adjustment expenses</w:t>
            </w:r>
          </w:p>
        </w:tc>
        <w:tc>
          <w:tcPr>
            <w:tcW w:w="40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1,678,444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1,361,872</w:t>
            </w:r>
          </w:p>
        </w:tc>
        <w:tc>
          <w:tcPr>
            <w:tcW w:w="0" w:type="dxa"/>
            <w:vAlign w:val="bottom"/>
          </w:tcPr>
          <w:p>
            <w:pPr>
              <w:spacing w:after="0"/>
              <w:rPr>
                <w:sz w:val="1"/>
                <w:szCs w:val="1"/>
                <w:color w:val="auto"/>
              </w:rPr>
            </w:pPr>
          </w:p>
        </w:tc>
      </w:tr>
      <w:tr>
        <w:trPr>
          <w:trHeight w:val="33"/>
        </w:trPr>
        <w:tc>
          <w:tcPr>
            <w:tcW w:w="78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without commercial lines in run-off</w:t>
            </w: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45,589,995</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27,566,603</w:t>
            </w: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lines (in run-off effective July 2019)(2)</w:t>
            </w:r>
          </w:p>
        </w:tc>
        <w:tc>
          <w:tcPr>
            <w:tcW w:w="40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(15,611)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(391,525)</w:t>
            </w:r>
          </w:p>
        </w:tc>
        <w:tc>
          <w:tcPr>
            <w:tcW w:w="0" w:type="dxa"/>
            <w:vAlign w:val="bottom"/>
          </w:tcPr>
          <w:p>
            <w:pPr>
              <w:spacing w:after="0"/>
              <w:rPr>
                <w:sz w:val="1"/>
                <w:szCs w:val="1"/>
                <w:color w:val="auto"/>
              </w:rPr>
            </w:pPr>
          </w:p>
        </w:tc>
      </w:tr>
      <w:tr>
        <w:trPr>
          <w:trHeight w:val="33"/>
        </w:trPr>
        <w:tc>
          <w:tcPr>
            <w:tcW w:w="78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net loss and loss adjustment expenses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45,574,384</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27,175,078</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ratio(4):</w:t>
            </w: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Personal lines</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0" w:type="dxa"/>
            <w:vAlign w:val="bottom"/>
          </w:tcPr>
          <w:p>
            <w:pPr>
              <w:spacing w:after="0"/>
              <w:rPr>
                <w:sz w:val="1"/>
                <w:szCs w:val="1"/>
                <w:color w:val="auto"/>
              </w:rPr>
            </w:pPr>
          </w:p>
        </w:tc>
      </w:tr>
      <w:tr>
        <w:trPr>
          <w:trHeight w:val="33"/>
        </w:trPr>
        <w:tc>
          <w:tcPr>
            <w:tcW w:w="7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Livery physical damage</w:t>
            </w: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Other(2)</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399.5%</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0" w:type="dxa"/>
            <w:vAlign w:val="bottom"/>
          </w:tcPr>
          <w:p>
            <w:pPr>
              <w:spacing w:after="0"/>
              <w:rPr>
                <w:sz w:val="1"/>
                <w:szCs w:val="1"/>
                <w:color w:val="auto"/>
              </w:rPr>
            </w:pPr>
          </w:p>
        </w:tc>
      </w:tr>
      <w:tr>
        <w:trPr>
          <w:trHeight w:val="33"/>
        </w:trPr>
        <w:tc>
          <w:tcPr>
            <w:tcW w:w="7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without commercial lines in run-off</w:t>
            </w: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lines (in run-off effective July 2019)(3)</w:t>
            </w:r>
          </w:p>
        </w:tc>
        <w:tc>
          <w:tcPr>
            <w:tcW w:w="400" w:type="dxa"/>
            <w:vAlign w:val="bottom"/>
          </w:tcPr>
          <w:p>
            <w:pPr>
              <w:spacing w:after="0"/>
              <w:rPr>
                <w:sz w:val="18"/>
                <w:szCs w:val="18"/>
                <w:color w:val="auto"/>
              </w:rPr>
            </w:pPr>
          </w:p>
        </w:tc>
        <w:tc>
          <w:tcPr>
            <w:tcW w:w="142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na</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33"/>
        </w:trPr>
        <w:tc>
          <w:tcPr>
            <w:tcW w:w="7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0" w:type="dxa"/>
            <w:vAlign w:val="bottom"/>
          </w:tcPr>
          <w:p>
            <w:pPr>
              <w:spacing w:after="0"/>
              <w:rPr>
                <w:sz w:val="1"/>
                <w:szCs w:val="1"/>
                <w:color w:val="auto"/>
              </w:rPr>
            </w:pPr>
          </w:p>
        </w:tc>
      </w:tr>
      <w:tr>
        <w:trPr>
          <w:trHeight w:val="33"/>
        </w:trPr>
        <w:tc>
          <w:tcPr>
            <w:tcW w:w="78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1100" w:right="20" w:hanging="1092"/>
        <w:spacing w:after="0" w:line="280" w:lineRule="auto"/>
        <w:tabs>
          <w:tab w:leader="none" w:pos="109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 premiums written and net premiums written are non-GAAP measures, defined above under "Key GAAP and Non-GAAP Measures". See "Non-GAAP Financial Measures" below for a reconciliation of direct written premiums, and net written premiums to the GAAP measure of net premiums earned.</w:t>
      </w:r>
    </w:p>
    <w:p>
      <w:pPr>
        <w:spacing w:after="0" w:line="56" w:lineRule="exact"/>
        <w:rPr>
          <w:rFonts w:ascii="Times New Roman" w:cs="Times New Roman" w:eastAsia="Times New Roman" w:hAnsi="Times New Roman"/>
          <w:sz w:val="16"/>
          <w:szCs w:val="16"/>
          <w:color w:val="auto"/>
        </w:rPr>
      </w:pPr>
    </w:p>
    <w:p>
      <w:pPr>
        <w:ind w:left="1100" w:right="460" w:hanging="1092"/>
        <w:spacing w:after="0" w:line="267" w:lineRule="auto"/>
        <w:tabs>
          <w:tab w:leader="none" w:pos="109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includes, among other things, premiums and loss and loss adjustment expenses from our participation in a mandatory state joint underwriting association and loss and loss adjustment expenses from commercial auto.</w:t>
      </w:r>
    </w:p>
    <w:p>
      <w:pPr>
        <w:ind w:left="1100" w:right="260" w:hanging="1092"/>
        <w:spacing w:after="0" w:line="255" w:lineRule="auto"/>
        <w:tabs>
          <w:tab w:leader="none" w:pos="109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July 2019, we decided that we will no longer underwrite commercial liability risks. See discussions above regarding the discontinuation of this line of business.</w:t>
      </w:r>
    </w:p>
    <w:p>
      <w:pPr>
        <w:ind w:left="1080" w:hanging="1072"/>
        <w:spacing w:after="0"/>
        <w:tabs>
          <w:tab w:leader="none" w:pos="10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discussion above with regard to “Net Loss and LAE”, as to catastrophe losses in the three months ended March 31, 2026 and 2025.</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Insurance Underwriting Business on a Standalone Basis</w:t>
      </w:r>
      <w:r>
        <w:rPr>
          <w:rFonts w:ascii="Times New Roman" w:cs="Times New Roman" w:eastAsia="Times New Roman" w:hAnsi="Times New Roman"/>
          <w:sz w:val="21"/>
          <w:szCs w:val="21"/>
          <w:b w:val="1"/>
          <w:bCs w:val="1"/>
          <w:color w:val="auto"/>
          <w:vertAlign w:val="superscript"/>
        </w:rPr>
        <w:t>(1)</w:t>
      </w:r>
    </w:p>
    <w:p>
      <w:pPr>
        <w:ind w:left="660"/>
        <w:spacing w:after="0"/>
        <w:rPr>
          <w:sz w:val="20"/>
          <w:szCs w:val="20"/>
          <w:color w:val="auto"/>
        </w:rPr>
      </w:pPr>
      <w:r>
        <w:rPr>
          <w:rFonts w:ascii="Times New Roman" w:cs="Times New Roman" w:eastAsia="Times New Roman" w:hAnsi="Times New Roman"/>
          <w:sz w:val="16"/>
          <w:szCs w:val="16"/>
          <w:color w:val="auto"/>
        </w:rPr>
        <w:t>Our insurance underwriting business reported on a standalone basis</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for the periods indicated is as follows:</w:t>
      </w:r>
    </w:p>
    <w:p>
      <w:pPr>
        <w:spacing w:after="0" w:line="39"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5"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9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31"/>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premiums earned</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55,868,814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43,523,063</w:t>
            </w:r>
          </w:p>
        </w:tc>
        <w:tc>
          <w:tcPr>
            <w:tcW w:w="0" w:type="dxa"/>
            <w:vAlign w:val="bottom"/>
          </w:tcPr>
          <w:p>
            <w:pPr>
              <w:spacing w:after="0"/>
              <w:rPr>
                <w:sz w:val="1"/>
                <w:szCs w:val="1"/>
                <w:color w:val="auto"/>
              </w:rPr>
            </w:pPr>
          </w:p>
        </w:tc>
      </w:tr>
      <w:tr>
        <w:trPr>
          <w:trHeight w:val="210"/>
        </w:trPr>
        <w:tc>
          <w:tcPr>
            <w:tcW w:w="7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Ceding commission revenue</w:t>
            </w: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1,403,876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2,958,691</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investment income</w:t>
            </w: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3,337,581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2,048,596</w:t>
            </w:r>
          </w:p>
        </w:tc>
        <w:tc>
          <w:tcPr>
            <w:tcW w:w="0" w:type="dxa"/>
            <w:vAlign w:val="bottom"/>
          </w:tcPr>
          <w:p>
            <w:pPr>
              <w:spacing w:after="0"/>
              <w:rPr>
                <w:sz w:val="1"/>
                <w:szCs w:val="1"/>
                <w:color w:val="auto"/>
              </w:rPr>
            </w:pPr>
          </w:p>
        </w:tc>
      </w:tr>
      <w:tr>
        <w:trPr>
          <w:trHeight w:val="210"/>
        </w:trPr>
        <w:tc>
          <w:tcPr>
            <w:tcW w:w="7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losses on investments</w:t>
            </w:r>
          </w:p>
        </w:tc>
        <w:tc>
          <w:tcPr>
            <w:tcW w:w="36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(1,015,347)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(137,979)</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Gain on sale of real estate</w:t>
            </w: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1,965,989</w:t>
            </w:r>
          </w:p>
        </w:tc>
        <w:tc>
          <w:tcPr>
            <w:tcW w:w="0" w:type="dxa"/>
            <w:vAlign w:val="bottom"/>
          </w:tcPr>
          <w:p>
            <w:pPr>
              <w:spacing w:after="0"/>
              <w:rPr>
                <w:sz w:val="1"/>
                <w:szCs w:val="1"/>
                <w:color w:val="auto"/>
              </w:rPr>
            </w:pPr>
          </w:p>
        </w:tc>
      </w:tr>
      <w:tr>
        <w:trPr>
          <w:trHeight w:val="210"/>
        </w:trPr>
        <w:tc>
          <w:tcPr>
            <w:tcW w:w="7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income</w:t>
            </w: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180,789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139,954</w:t>
            </w:r>
          </w:p>
        </w:tc>
        <w:tc>
          <w:tcPr>
            <w:tcW w:w="0" w:type="dxa"/>
            <w:vAlign w:val="bottom"/>
          </w:tcPr>
          <w:p>
            <w:pPr>
              <w:spacing w:after="0"/>
              <w:rPr>
                <w:sz w:val="1"/>
                <w:szCs w:val="1"/>
                <w:color w:val="auto"/>
              </w:rPr>
            </w:pPr>
          </w:p>
        </w:tc>
      </w:tr>
      <w:tr>
        <w:trPr>
          <w:trHeight w:val="33"/>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revenues</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59,775,713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50,498,314</w:t>
            </w:r>
          </w:p>
        </w:tc>
        <w:tc>
          <w:tcPr>
            <w:tcW w:w="0" w:type="dxa"/>
            <w:vAlign w:val="bottom"/>
          </w:tcPr>
          <w:p>
            <w:pPr>
              <w:spacing w:after="0"/>
              <w:rPr>
                <w:sz w:val="1"/>
                <w:szCs w:val="1"/>
                <w:color w:val="auto"/>
              </w:rPr>
            </w:pPr>
          </w:p>
        </w:tc>
      </w:tr>
      <w:tr>
        <w:trPr>
          <w:trHeight w:val="250"/>
        </w:trPr>
        <w:tc>
          <w:tcPr>
            <w:tcW w:w="794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and loss adjustment expenses</w:t>
            </w: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45,574,384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27,175,078</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Commission expense</w:t>
            </w: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10,195,412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9,312,880</w:t>
            </w:r>
          </w:p>
        </w:tc>
        <w:tc>
          <w:tcPr>
            <w:tcW w:w="0" w:type="dxa"/>
            <w:vAlign w:val="bottom"/>
          </w:tcPr>
          <w:p>
            <w:pPr>
              <w:spacing w:after="0"/>
              <w:rPr>
                <w:sz w:val="1"/>
                <w:szCs w:val="1"/>
                <w:color w:val="auto"/>
              </w:rPr>
            </w:pPr>
          </w:p>
        </w:tc>
      </w:tr>
      <w:tr>
        <w:trPr>
          <w:trHeight w:val="210"/>
        </w:trPr>
        <w:tc>
          <w:tcPr>
            <w:tcW w:w="7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underwriting expenses</w:t>
            </w: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8,361,273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7,405,422</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715,507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623,863</w:t>
            </w:r>
          </w:p>
        </w:tc>
        <w:tc>
          <w:tcPr>
            <w:tcW w:w="0" w:type="dxa"/>
            <w:vAlign w:val="bottom"/>
          </w:tcPr>
          <w:p>
            <w:pPr>
              <w:spacing w:after="0"/>
              <w:rPr>
                <w:sz w:val="1"/>
                <w:szCs w:val="1"/>
                <w:color w:val="auto"/>
              </w:rPr>
            </w:pPr>
          </w:p>
        </w:tc>
      </w:tr>
      <w:tr>
        <w:trPr>
          <w:trHeight w:val="210"/>
        </w:trPr>
        <w:tc>
          <w:tcPr>
            <w:tcW w:w="7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w:t>
            </w: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69,855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81,477</w:t>
            </w:r>
          </w:p>
        </w:tc>
        <w:tc>
          <w:tcPr>
            <w:tcW w:w="0" w:type="dxa"/>
            <w:vAlign w:val="bottom"/>
          </w:tcPr>
          <w:p>
            <w:pPr>
              <w:spacing w:after="0"/>
              <w:rPr>
                <w:sz w:val="1"/>
                <w:szCs w:val="1"/>
                <w:color w:val="auto"/>
              </w:rPr>
            </w:pPr>
          </w:p>
        </w:tc>
      </w:tr>
      <w:tr>
        <w:trPr>
          <w:trHeight w:val="33"/>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9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expenses</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64,916,431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44,598,720</w:t>
            </w:r>
          </w:p>
        </w:tc>
        <w:tc>
          <w:tcPr>
            <w:tcW w:w="0" w:type="dxa"/>
            <w:vAlign w:val="bottom"/>
          </w:tcPr>
          <w:p>
            <w:pPr>
              <w:spacing w:after="0"/>
              <w:rPr>
                <w:sz w:val="1"/>
                <w:szCs w:val="1"/>
                <w:color w:val="auto"/>
              </w:rPr>
            </w:pPr>
          </w:p>
        </w:tc>
      </w:tr>
      <w:tr>
        <w:trPr>
          <w:trHeight w:val="250"/>
        </w:trPr>
        <w:tc>
          <w:tcPr>
            <w:tcW w:w="794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(5,140,718)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5,899,594</w:t>
            </w:r>
          </w:p>
        </w:tc>
        <w:tc>
          <w:tcPr>
            <w:tcW w:w="0" w:type="dxa"/>
            <w:vAlign w:val="bottom"/>
          </w:tcPr>
          <w:p>
            <w:pPr>
              <w:spacing w:after="0"/>
              <w:rPr>
                <w:sz w:val="1"/>
                <w:szCs w:val="1"/>
                <w:color w:val="auto"/>
              </w:rPr>
            </w:pPr>
          </w:p>
        </w:tc>
      </w:tr>
      <w:tr>
        <w:trPr>
          <w:trHeight w:val="210"/>
        </w:trPr>
        <w:tc>
          <w:tcPr>
            <w:tcW w:w="7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36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(1,107,892)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1,233,125</w:t>
            </w:r>
          </w:p>
        </w:tc>
        <w:tc>
          <w:tcPr>
            <w:tcW w:w="0" w:type="dxa"/>
            <w:vAlign w:val="bottom"/>
          </w:tcPr>
          <w:p>
            <w:pPr>
              <w:spacing w:after="0"/>
              <w:rPr>
                <w:sz w:val="1"/>
                <w:szCs w:val="1"/>
                <w:color w:val="auto"/>
              </w:rPr>
            </w:pPr>
          </w:p>
        </w:tc>
      </w:tr>
      <w:tr>
        <w:trPr>
          <w:trHeight w:val="33"/>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940" w:type="dxa"/>
            <w:vAlign w:val="bottom"/>
            <w:tcBorders>
              <w:bottom w:val="single" w:sz="8" w:color="CCEEFF"/>
            </w:tcBorders>
            <w:shd w:val="clear" w:color="auto" w:fill="CCEEFF"/>
          </w:tcPr>
          <w:p>
            <w:pPr>
              <w:ind w:left="20"/>
              <w:spacing w:after="0" w:line="237" w:lineRule="exact"/>
              <w:rPr>
                <w:sz w:val="20"/>
                <w:szCs w:val="20"/>
                <w:color w:val="auto"/>
              </w:rPr>
            </w:pPr>
            <w:r>
              <w:rPr>
                <w:rFonts w:ascii="Times New Roman" w:cs="Times New Roman" w:eastAsia="Times New Roman" w:hAnsi="Times New Roman"/>
                <w:sz w:val="16"/>
                <w:szCs w:val="16"/>
                <w:b w:val="1"/>
                <w:bCs w:val="1"/>
                <w:color w:val="auto"/>
              </w:rPr>
              <w:t>Net (loss) income from insurance underwriting business on a standalone basis</w:t>
            </w:r>
            <w:r>
              <w:rPr>
                <w:rFonts w:ascii="Times New Roman" w:cs="Times New Roman" w:eastAsia="Times New Roman" w:hAnsi="Times New Roman"/>
                <w:sz w:val="21"/>
                <w:szCs w:val="21"/>
                <w:b w:val="1"/>
                <w:bCs w:val="1"/>
                <w:color w:val="auto"/>
                <w:vertAlign w:val="superscript"/>
              </w:rPr>
              <w:t>(1)</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(4,032,826)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4,666,469</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Key Measures:</w:t>
            </w: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 ratio</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62.4 %</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underwriting expense ratio</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31.3 %</w:t>
            </w:r>
          </w:p>
        </w:tc>
        <w:tc>
          <w:tcPr>
            <w:tcW w:w="0" w:type="dxa"/>
            <w:vAlign w:val="bottom"/>
          </w:tcPr>
          <w:p>
            <w:pPr>
              <w:spacing w:after="0"/>
              <w:rPr>
                <w:sz w:val="1"/>
                <w:szCs w:val="1"/>
                <w:color w:val="auto"/>
              </w:rPr>
            </w:pPr>
          </w:p>
        </w:tc>
      </w:tr>
      <w:tr>
        <w:trPr>
          <w:trHeight w:val="204"/>
        </w:trPr>
        <w:tc>
          <w:tcPr>
            <w:tcW w:w="7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combined ratio</w:t>
            </w:r>
          </w:p>
        </w:tc>
        <w:tc>
          <w:tcPr>
            <w:tcW w:w="3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112.0 %</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93.7 %</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Reconciliation of net underwriting expense ratio:</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Acquisition costs and other</w:t>
            </w: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underwriting expenses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18,556,685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16,718,302</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Less: Ceding commission revenue</w:t>
            </w: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(1,403,876)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(2,958,691)</w:t>
            </w:r>
          </w:p>
        </w:tc>
        <w:tc>
          <w:tcPr>
            <w:tcW w:w="0" w:type="dxa"/>
            <w:vAlign w:val="bottom"/>
          </w:tcPr>
          <w:p>
            <w:pPr>
              <w:spacing w:after="0"/>
              <w:rPr>
                <w:sz w:val="1"/>
                <w:szCs w:val="1"/>
                <w:color w:val="auto"/>
              </w:rPr>
            </w:pPr>
          </w:p>
        </w:tc>
      </w:tr>
      <w:tr>
        <w:trPr>
          <w:trHeight w:val="210"/>
        </w:trPr>
        <w:tc>
          <w:tcPr>
            <w:tcW w:w="7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Less: Other income</w:t>
            </w:r>
          </w:p>
        </w:tc>
        <w:tc>
          <w:tcPr>
            <w:tcW w:w="36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(180,789)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(139,954)</w:t>
            </w:r>
          </w:p>
        </w:tc>
        <w:tc>
          <w:tcPr>
            <w:tcW w:w="0" w:type="dxa"/>
            <w:vAlign w:val="bottom"/>
          </w:tcPr>
          <w:p>
            <w:pPr>
              <w:spacing w:after="0"/>
              <w:rPr>
                <w:sz w:val="1"/>
                <w:szCs w:val="1"/>
                <w:color w:val="auto"/>
              </w:rPr>
            </w:pPr>
          </w:p>
        </w:tc>
      </w:tr>
      <w:tr>
        <w:trPr>
          <w:trHeight w:val="33"/>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underwriting expenses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16,972,020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13,619,657</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7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premiums earned</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55,868,814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43,523,063</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7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Underwriting Expense Ratio</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30.4 %</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31.3 %</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80" w:firstLine="615"/>
        <w:spacing w:after="0" w:line="272" w:lineRule="auto"/>
        <w:tabs>
          <w:tab w:leader="none" w:pos="837"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(loss) income from insurance underwriting business on a standalone basis is a non-GAAP measure, which is computed as GAAP net (loss) income without the effect of holding company operations on GAAP net (loss) income. See "Non-GAAP Financial Measures" for a reconciliation of net (loss) income from insurance underwriting business on a standalone basis to the GAAP measure of net (loss) income.</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An analysis of our direct, assumed and ceded earned premiums, loss and loss adjustment expenses, and loss ratios is shown below: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Direct</w:t>
            </w:r>
          </w:p>
        </w:tc>
        <w:tc>
          <w:tcPr>
            <w:tcW w:w="340" w:type="dxa"/>
            <w:vAlign w:val="bottom"/>
          </w:tcPr>
          <w:p>
            <w:pPr>
              <w:spacing w:after="0"/>
              <w:rPr>
                <w:sz w:val="18"/>
                <w:szCs w:val="18"/>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Ceded</w:t>
            </w:r>
          </w:p>
        </w:tc>
        <w:tc>
          <w:tcPr>
            <w:tcW w:w="360" w:type="dxa"/>
            <w:vAlign w:val="bottom"/>
          </w:tcPr>
          <w:p>
            <w:pPr>
              <w:spacing w:after="0"/>
              <w:rPr>
                <w:sz w:val="18"/>
                <w:szCs w:val="18"/>
                <w:color w:val="auto"/>
              </w:rPr>
            </w:pPr>
          </w:p>
        </w:tc>
        <w:tc>
          <w:tcPr>
            <w:tcW w:w="124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33"/>
        </w:trPr>
        <w:tc>
          <w:tcPr>
            <w:tcW w:w="6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6"/>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31"/>
        </w:trPr>
        <w:tc>
          <w:tcPr>
            <w:tcW w:w="6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6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Written premiums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69,603,381</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7,989,856</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77,593,237</w:t>
            </w:r>
          </w:p>
        </w:tc>
      </w:tr>
      <w:tr>
        <w:trPr>
          <w:trHeight w:val="210"/>
        </w:trPr>
        <w:tc>
          <w:tcPr>
            <w:tcW w:w="6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unearned premiums</w:t>
            </w:r>
          </w:p>
        </w:tc>
        <w:tc>
          <w:tcPr>
            <w:tcW w:w="320" w:type="dxa"/>
            <w:vAlign w:val="bottom"/>
          </w:tcPr>
          <w:p>
            <w:pPr>
              <w:spacing w:after="0"/>
              <w:rPr>
                <w:sz w:val="18"/>
                <w:szCs w:val="18"/>
                <w:color w:val="auto"/>
              </w:rPr>
            </w:pPr>
          </w:p>
        </w:tc>
        <w:tc>
          <w:tcPr>
            <w:tcW w:w="12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385,341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(22,109,764)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(21,724,423)</w:t>
            </w:r>
          </w:p>
        </w:tc>
      </w:tr>
      <w:tr>
        <w:trPr>
          <w:trHeight w:val="33"/>
        </w:trPr>
        <w:tc>
          <w:tcPr>
            <w:tcW w:w="6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2"/>
        </w:trPr>
        <w:tc>
          <w:tcPr>
            <w:tcW w:w="6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Earned premiums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69,988,722</w:t>
            </w:r>
          </w:p>
        </w:tc>
        <w:tc>
          <w:tcPr>
            <w:tcW w:w="1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(14,119,908)</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55,868,814</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6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23"/>
        </w:trPr>
        <w:tc>
          <w:tcPr>
            <w:tcW w:w="6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and loss adjustment expenses excluding</w:t>
            </w: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r>
      <w:tr>
        <w:trPr>
          <w:trHeight w:val="210"/>
        </w:trPr>
        <w:tc>
          <w:tcPr>
            <w:tcW w:w="6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the effect of catastrophes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34,610,963</w:t>
            </w:r>
          </w:p>
        </w:tc>
        <w:tc>
          <w:tcPr>
            <w:tcW w:w="1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(3,535,228)</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31,075,735</w:t>
            </w:r>
          </w:p>
        </w:tc>
      </w:tr>
      <w:tr>
        <w:trPr>
          <w:trHeight w:val="33"/>
        </w:trPr>
        <w:tc>
          <w:tcPr>
            <w:tcW w:w="6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Catastrophe loss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25,619,399</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(11,120,750)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14,498,649</w:t>
            </w:r>
          </w:p>
        </w:tc>
      </w:tr>
      <w:tr>
        <w:trPr>
          <w:trHeight w:val="204"/>
        </w:trPr>
        <w:tc>
          <w:tcPr>
            <w:tcW w:w="6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and loss adjustment expenses</w:t>
            </w: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60,230,362</w:t>
            </w:r>
          </w:p>
        </w:tc>
        <w:tc>
          <w:tcPr>
            <w:tcW w:w="18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(14,655,978)</w:t>
            </w:r>
          </w:p>
        </w:tc>
        <w:tc>
          <w:tcPr>
            <w:tcW w:w="8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45,574,384</w:t>
            </w:r>
          </w:p>
        </w:tc>
      </w:tr>
      <w:tr>
        <w:trPr>
          <w:trHeight w:val="33"/>
        </w:trPr>
        <w:tc>
          <w:tcPr>
            <w:tcW w:w="6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75"/>
        </w:trPr>
        <w:tc>
          <w:tcPr>
            <w:tcW w:w="62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r>
      <w:tr>
        <w:trPr>
          <w:trHeight w:val="243"/>
        </w:trPr>
        <w:tc>
          <w:tcPr>
            <w:tcW w:w="6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ratio excluding the effect of catastrophes</w:t>
            </w:r>
            <w:r>
              <w:rPr>
                <w:rFonts w:ascii="Times New Roman" w:cs="Times New Roman" w:eastAsia="Times New Roman" w:hAnsi="Times New Roman"/>
                <w:sz w:val="21"/>
                <w:szCs w:val="21"/>
                <w:color w:val="auto"/>
                <w:vertAlign w:val="superscript"/>
              </w:rPr>
              <w:t>(2)</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w:t>
            </w:r>
          </w:p>
        </w:tc>
      </w:tr>
      <w:tr>
        <w:trPr>
          <w:trHeight w:val="243"/>
        </w:trPr>
        <w:tc>
          <w:tcPr>
            <w:tcW w:w="6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Catastrophe loss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r>
      <w:tr>
        <w:trPr>
          <w:trHeight w:val="204"/>
        </w:trPr>
        <w:tc>
          <w:tcPr>
            <w:tcW w:w="6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ratio</w:t>
            </w: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w:t>
            </w:r>
          </w:p>
        </w:tc>
      </w:tr>
      <w:tr>
        <w:trPr>
          <w:trHeight w:val="33"/>
        </w:trPr>
        <w:tc>
          <w:tcPr>
            <w:tcW w:w="6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6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12"/>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1"/>
        </w:trPr>
        <w:tc>
          <w:tcPr>
            <w:tcW w:w="6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6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Written premiums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58,174,996</w:t>
            </w: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2,834,411</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61,009,407</w:t>
            </w:r>
          </w:p>
        </w:tc>
      </w:tr>
      <w:tr>
        <w:trPr>
          <w:trHeight w:val="210"/>
        </w:trPr>
        <w:tc>
          <w:tcPr>
            <w:tcW w:w="6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unearned premiums</w:t>
            </w:r>
          </w:p>
        </w:tc>
        <w:tc>
          <w:tcPr>
            <w:tcW w:w="320" w:type="dxa"/>
            <w:vAlign w:val="bottom"/>
          </w:tcPr>
          <w:p>
            <w:pPr>
              <w:spacing w:after="0"/>
              <w:rPr>
                <w:sz w:val="18"/>
                <w:szCs w:val="18"/>
                <w:color w:val="auto"/>
              </w:rPr>
            </w:pPr>
          </w:p>
        </w:tc>
        <w:tc>
          <w:tcPr>
            <w:tcW w:w="12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2,470,381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(19,956,725)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(17,486,344)</w:t>
            </w:r>
          </w:p>
        </w:tc>
      </w:tr>
      <w:tr>
        <w:trPr>
          <w:trHeight w:val="33"/>
        </w:trPr>
        <w:tc>
          <w:tcPr>
            <w:tcW w:w="6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2"/>
        </w:trPr>
        <w:tc>
          <w:tcPr>
            <w:tcW w:w="6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Earned premiums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60,645,377</w:t>
            </w:r>
          </w:p>
        </w:tc>
        <w:tc>
          <w:tcPr>
            <w:tcW w:w="1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(17,122,314)</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43,523,063</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6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23"/>
        </w:trPr>
        <w:tc>
          <w:tcPr>
            <w:tcW w:w="6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and loss adjustment expenses excluding</w:t>
            </w:r>
          </w:p>
        </w:tc>
        <w:tc>
          <w:tcPr>
            <w:tcW w:w="3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r>
      <w:tr>
        <w:trPr>
          <w:trHeight w:val="210"/>
        </w:trPr>
        <w:tc>
          <w:tcPr>
            <w:tcW w:w="6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the effect of catastrophes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33,341,330</w:t>
            </w:r>
          </w:p>
        </w:tc>
        <w:tc>
          <w:tcPr>
            <w:tcW w:w="1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(6,916,449)</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26,424,881</w:t>
            </w:r>
          </w:p>
        </w:tc>
      </w:tr>
      <w:tr>
        <w:trPr>
          <w:trHeight w:val="33"/>
        </w:trPr>
        <w:tc>
          <w:tcPr>
            <w:tcW w:w="6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Catastrophe loss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893,092</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(142,895)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750,197</w:t>
            </w:r>
          </w:p>
        </w:tc>
      </w:tr>
      <w:tr>
        <w:trPr>
          <w:trHeight w:val="204"/>
        </w:trPr>
        <w:tc>
          <w:tcPr>
            <w:tcW w:w="6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and loss adjustment expenses</w:t>
            </w: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34,234,422</w:t>
            </w:r>
          </w:p>
        </w:tc>
        <w:tc>
          <w:tcPr>
            <w:tcW w:w="18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(7,059,344)</w:t>
            </w:r>
          </w:p>
        </w:tc>
        <w:tc>
          <w:tcPr>
            <w:tcW w:w="8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27,175,078</w:t>
            </w:r>
          </w:p>
        </w:tc>
      </w:tr>
      <w:tr>
        <w:trPr>
          <w:trHeight w:val="33"/>
        </w:trPr>
        <w:tc>
          <w:tcPr>
            <w:tcW w:w="6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75"/>
        </w:trPr>
        <w:tc>
          <w:tcPr>
            <w:tcW w:w="62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r>
      <w:tr>
        <w:trPr>
          <w:trHeight w:val="243"/>
        </w:trPr>
        <w:tc>
          <w:tcPr>
            <w:tcW w:w="6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ratio excluding the effect of catastrophes</w:t>
            </w:r>
            <w:r>
              <w:rPr>
                <w:rFonts w:ascii="Times New Roman" w:cs="Times New Roman" w:eastAsia="Times New Roman" w:hAnsi="Times New Roman"/>
                <w:sz w:val="21"/>
                <w:szCs w:val="21"/>
                <w:color w:val="auto"/>
                <w:vertAlign w:val="superscript"/>
              </w:rPr>
              <w:t>(2)</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w:t>
            </w:r>
          </w:p>
        </w:tc>
      </w:tr>
      <w:tr>
        <w:trPr>
          <w:trHeight w:val="243"/>
        </w:trPr>
        <w:tc>
          <w:tcPr>
            <w:tcW w:w="6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Catastrophe loss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4"/>
        </w:trPr>
        <w:tc>
          <w:tcPr>
            <w:tcW w:w="6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ratio</w:t>
            </w: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w:t>
            </w:r>
          </w:p>
        </w:tc>
      </w:tr>
      <w:tr>
        <w:trPr>
          <w:trHeight w:val="33"/>
        </w:trPr>
        <w:tc>
          <w:tcPr>
            <w:tcW w:w="6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6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bl>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(Percent components may not sum to totals due to rounding)</w:t>
      </w:r>
    </w:p>
    <w:p>
      <w:pPr>
        <w:sectPr>
          <w:pgSz w:w="11900" w:h="16838" w:orient="portrait"/>
          <w:cols w:equalWidth="0" w:num="1">
            <w:col w:w="11240"/>
          </w:cols>
          <w:pgMar w:left="320" w:top="119" w:right="339" w:bottom="6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677"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key measures for our insurance underwriting business for the periods indicated are as follows:</w:t>
      </w:r>
    </w:p>
    <w:p>
      <w:pPr>
        <w:spacing w:after="0" w:line="260"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5"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9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1"/>
        </w:trPr>
        <w:tc>
          <w:tcPr>
            <w:tcW w:w="7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7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premiums earned</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55,868,814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43,523,063</w:t>
            </w: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Ceding commission revenue</w:t>
            </w: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1,403,876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2,958,691</w:t>
            </w:r>
          </w:p>
        </w:tc>
      </w:tr>
      <w:tr>
        <w:trPr>
          <w:trHeight w:val="33"/>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180,789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139,954</w:t>
            </w:r>
          </w:p>
        </w:tc>
      </w:tr>
      <w:tr>
        <w:trPr>
          <w:trHeight w:val="33"/>
        </w:trPr>
        <w:tc>
          <w:tcPr>
            <w:tcW w:w="79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and loss adjustment expenses</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45,574,384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27,175,078</w:t>
            </w:r>
          </w:p>
        </w:tc>
      </w:tr>
      <w:tr>
        <w:trPr>
          <w:trHeight w:val="270"/>
        </w:trPr>
        <w:tc>
          <w:tcPr>
            <w:tcW w:w="7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costs and other underwriting expenses:</w:t>
            </w: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r>
      <w:tr>
        <w:trPr>
          <w:trHeight w:val="210"/>
        </w:trPr>
        <w:tc>
          <w:tcPr>
            <w:tcW w:w="7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Commission expense</w:t>
            </w:r>
          </w:p>
        </w:tc>
        <w:tc>
          <w:tcPr>
            <w:tcW w:w="3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10,195,412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9,312,880</w:t>
            </w:r>
          </w:p>
        </w:tc>
      </w:tr>
      <w:tr>
        <w:trPr>
          <w:trHeight w:val="33"/>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underwriting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8,361,273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7,405,422</w:t>
            </w:r>
          </w:p>
        </w:tc>
      </w:tr>
      <w:tr>
        <w:trPr>
          <w:trHeight w:val="204"/>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acquisition costs and other underwriting expenses</w:t>
            </w: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18,556,685</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16,718,302</w:t>
            </w:r>
          </w:p>
        </w:tc>
      </w:tr>
      <w:tr>
        <w:trPr>
          <w:trHeight w:val="33"/>
        </w:trPr>
        <w:tc>
          <w:tcPr>
            <w:tcW w:w="7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9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Underwriting (loss) income</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(6,677,590)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2,728,328</w:t>
            </w:r>
          </w:p>
        </w:tc>
      </w:tr>
      <w:tr>
        <w:trPr>
          <w:trHeight w:val="33"/>
        </w:trPr>
        <w:tc>
          <w:tcPr>
            <w:tcW w:w="7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79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Key Measures: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3"/>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7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loss ratio excluding the effect of catastrophes</w:t>
            </w:r>
            <w:r>
              <w:rPr>
                <w:rFonts w:ascii="Times New Roman" w:cs="Times New Roman" w:eastAsia="Times New Roman" w:hAnsi="Times New Roman"/>
                <w:sz w:val="21"/>
                <w:szCs w:val="21"/>
                <w:color w:val="auto"/>
                <w:vertAlign w:val="superscript"/>
              </w:rPr>
              <w:t>(2)</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r>
      <w:tr>
        <w:trPr>
          <w:trHeight w:val="243"/>
        </w:trPr>
        <w:tc>
          <w:tcPr>
            <w:tcW w:w="7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Effect of catastrophe loss on net loss ratio</w:t>
            </w:r>
            <w:r>
              <w:rPr>
                <w:rFonts w:ascii="Times New Roman" w:cs="Times New Roman" w:eastAsia="Times New Roman" w:hAnsi="Times New Roman"/>
                <w:sz w:val="21"/>
                <w:szCs w:val="21"/>
                <w:color w:val="auto"/>
                <w:vertAlign w:val="superscript"/>
              </w:rPr>
              <w:t>(1)(2)</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36"/>
        </w:trPr>
        <w:tc>
          <w:tcPr>
            <w:tcW w:w="7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loss ratio</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r>
      <w:tr>
        <w:trPr>
          <w:trHeight w:val="250"/>
        </w:trPr>
        <w:tc>
          <w:tcPr>
            <w:tcW w:w="7940" w:type="dxa"/>
            <w:vAlign w:val="bottom"/>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r>
      <w:tr>
        <w:trPr>
          <w:trHeight w:val="243"/>
        </w:trPr>
        <w:tc>
          <w:tcPr>
            <w:tcW w:w="7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underwriting expense ratio excluding the effect of catastrophes</w:t>
            </w:r>
            <w:r>
              <w:rPr>
                <w:rFonts w:ascii="Times New Roman" w:cs="Times New Roman" w:eastAsia="Times New Roman" w:hAnsi="Times New Roman"/>
                <w:sz w:val="21"/>
                <w:szCs w:val="21"/>
                <w:color w:val="auto"/>
                <w:vertAlign w:val="superscript"/>
              </w:rPr>
              <w:t>(2)</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r>
      <w:tr>
        <w:trPr>
          <w:trHeight w:val="243"/>
        </w:trPr>
        <w:tc>
          <w:tcPr>
            <w:tcW w:w="7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Effect of catastrophe loss on net underwriting expense ratio</w:t>
            </w:r>
            <w:r>
              <w:rPr>
                <w:rFonts w:ascii="Times New Roman" w:cs="Times New Roman" w:eastAsia="Times New Roman" w:hAnsi="Times New Roman"/>
                <w:sz w:val="21"/>
                <w:szCs w:val="21"/>
                <w:color w:val="auto"/>
                <w:vertAlign w:val="superscript"/>
              </w:rPr>
              <w:t>(2)</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36"/>
        </w:trPr>
        <w:tc>
          <w:tcPr>
            <w:tcW w:w="7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underwriting expense ratio</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r>
      <w:tr>
        <w:trPr>
          <w:trHeight w:val="250"/>
        </w:trPr>
        <w:tc>
          <w:tcPr>
            <w:tcW w:w="7940" w:type="dxa"/>
            <w:vAlign w:val="bottom"/>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r>
      <w:tr>
        <w:trPr>
          <w:trHeight w:val="243"/>
        </w:trPr>
        <w:tc>
          <w:tcPr>
            <w:tcW w:w="7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combined ratio excluding the effect of catastrophes</w:t>
            </w:r>
            <w:r>
              <w:rPr>
                <w:rFonts w:ascii="Times New Roman" w:cs="Times New Roman" w:eastAsia="Times New Roman" w:hAnsi="Times New Roman"/>
                <w:sz w:val="21"/>
                <w:szCs w:val="21"/>
                <w:color w:val="auto"/>
                <w:vertAlign w:val="superscript"/>
              </w:rPr>
              <w:t>(2)</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r>
      <w:tr>
        <w:trPr>
          <w:trHeight w:val="243"/>
        </w:trPr>
        <w:tc>
          <w:tcPr>
            <w:tcW w:w="7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Effect of catastrophe loss on net combined ratio</w:t>
            </w:r>
            <w:r>
              <w:rPr>
                <w:rFonts w:ascii="Times New Roman" w:cs="Times New Roman" w:eastAsia="Times New Roman" w:hAnsi="Times New Roman"/>
                <w:sz w:val="21"/>
                <w:szCs w:val="21"/>
                <w:color w:val="auto"/>
                <w:vertAlign w:val="superscript"/>
              </w:rPr>
              <w:t>(1)(2)</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62"/>
        </w:trPr>
        <w:tc>
          <w:tcPr>
            <w:tcW w:w="7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combined ratio</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ind w:left="1080" w:hanging="1072"/>
        <w:spacing w:after="0" w:line="280" w:lineRule="auto"/>
        <w:tabs>
          <w:tab w:leader="none" w:pos="107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March 31, 2026 and 2025, gives effect to the sum of net catastrophe losses and loss adjustment expenses of $14,498,649 and $750,197, respectively.</w:t>
      </w:r>
    </w:p>
    <w:p>
      <w:pPr>
        <w:spacing w:after="0" w:line="178" w:lineRule="exact"/>
        <w:rPr>
          <w:rFonts w:ascii="Times New Roman" w:cs="Times New Roman" w:eastAsia="Times New Roman" w:hAnsi="Times New Roman"/>
          <w:sz w:val="16"/>
          <w:szCs w:val="16"/>
          <w:color w:val="auto"/>
        </w:rPr>
      </w:pPr>
    </w:p>
    <w:p>
      <w:pPr>
        <w:jc w:val="both"/>
        <w:ind w:left="1080" w:hanging="1072"/>
        <w:spacing w:after="0" w:line="258" w:lineRule="auto"/>
        <w:tabs>
          <w:tab w:leader="none" w:pos="107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loss ratio excluding the effect of catastrophes is a non-GAAP ratio, which is computed as the difference between the GAAP net loss ratio and the effect of catastrophes on the net loss ratio. See "Non-GAAP Financial Measures" for a reconciliation of net loss ratio excluding the effect of catastrophes to the GAAP measure of net loss ratio. Net underwriting expense ratio excluding the effect of catastrophes is also a non-GAAP ratio, which is computed as the difference between the GAAP net underwriting expense ratio and the effect of catastrophes on the net underwriting expense ratio. See "Non-GAAP Financial Measures" for a reconciliation of net underwriting expense ratio excluding the effect of catastrophes to the GAAP measure of net underwriting expense ratio. Net combined ratio excluding the effect of catastrophes is also a non-GAAP ratio, which is computed as the difference between the GAAP net combined ratio and the effect of catastrophes on the net combined ratio. See "Non-GAAP Financial Measures" for a reconciliation of net combined ratio excluding the effect of catastrophes to the GAAP measure of net combined ratio.</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Portfolio Summary</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u w:val="single" w:color="auto"/>
          <w:color w:val="auto"/>
        </w:rPr>
        <w:t>Fixed-Maturity Securities</w:t>
      </w:r>
    </w:p>
    <w:p>
      <w:pPr>
        <w:spacing w:after="0" w:line="221" w:lineRule="exact"/>
        <w:rPr>
          <w:sz w:val="20"/>
          <w:szCs w:val="20"/>
          <w:color w:val="auto"/>
        </w:rPr>
      </w:pPr>
    </w:p>
    <w:p>
      <w:pPr>
        <w:ind w:right="20" w:firstLine="648"/>
        <w:spacing w:after="0" w:line="298" w:lineRule="auto"/>
        <w:rPr>
          <w:sz w:val="20"/>
          <w:szCs w:val="20"/>
          <w:color w:val="auto"/>
        </w:rPr>
      </w:pPr>
      <w:r>
        <w:rPr>
          <w:rFonts w:ascii="Times New Roman" w:cs="Times New Roman" w:eastAsia="Times New Roman" w:hAnsi="Times New Roman"/>
          <w:sz w:val="16"/>
          <w:szCs w:val="16"/>
          <w:color w:val="auto"/>
        </w:rPr>
        <w:t>The following table presents a breakdown of the amortized cost, estimated fair value, and gross unrealized gains and losses of our investments in fixed-maturity securities classified as available-for-sale for which an allowance for credit loss has not been recorded, as of March 31, 2026 and December 31, 2025: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Cost or</w:t>
            </w:r>
          </w:p>
        </w:tc>
        <w:tc>
          <w:tcPr>
            <w:tcW w:w="220" w:type="dxa"/>
            <w:vAlign w:val="bottom"/>
          </w:tcPr>
          <w:p>
            <w:pPr>
              <w:spacing w:after="0"/>
              <w:rPr>
                <w:sz w:val="18"/>
                <w:szCs w:val="18"/>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8"/>
                <w:szCs w:val="18"/>
                <w:color w:val="auto"/>
              </w:rPr>
            </w:pPr>
          </w:p>
        </w:tc>
        <w:tc>
          <w:tcPr>
            <w:tcW w:w="288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Gross Unrealized Losses</w:t>
            </w:r>
          </w:p>
        </w:tc>
        <w:tc>
          <w:tcPr>
            <w:tcW w:w="240" w:type="dxa"/>
            <w:vAlign w:val="bottom"/>
          </w:tcPr>
          <w:p>
            <w:pPr>
              <w:spacing w:after="0"/>
              <w:rPr>
                <w:sz w:val="18"/>
                <w:szCs w:val="18"/>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0" w:type="dxa"/>
            <w:vAlign w:val="bottom"/>
          </w:tcPr>
          <w:p>
            <w:pPr>
              <w:spacing w:after="0"/>
              <w:rPr>
                <w:sz w:val="1"/>
                <w:szCs w:val="1"/>
                <w:color w:val="auto"/>
              </w:rPr>
            </w:pPr>
          </w:p>
        </w:tc>
      </w:tr>
      <w:tr>
        <w:trPr>
          <w:trHeight w:val="31"/>
        </w:trPr>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5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20" w:type="dxa"/>
            <w:vAlign w:val="bottom"/>
          </w:tcPr>
          <w:p>
            <w:pPr>
              <w:spacing w:after="0"/>
              <w:rPr>
                <w:sz w:val="15"/>
                <w:szCs w:val="15"/>
                <w:color w:val="auto"/>
              </w:rPr>
            </w:pPr>
          </w:p>
        </w:tc>
        <w:tc>
          <w:tcPr>
            <w:tcW w:w="132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80" w:type="dxa"/>
            <w:vAlign w:val="bottom"/>
          </w:tcPr>
          <w:p>
            <w:pPr>
              <w:spacing w:after="0"/>
              <w:rPr>
                <w:sz w:val="15"/>
                <w:szCs w:val="15"/>
                <w:color w:val="auto"/>
              </w:rPr>
            </w:pPr>
          </w:p>
        </w:tc>
        <w:tc>
          <w:tcPr>
            <w:tcW w:w="134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6"/>
                <w:szCs w:val="16"/>
                <w:b w:val="1"/>
                <w:bCs w:val="1"/>
                <w:color w:val="auto"/>
              </w:rPr>
              <w:t>Less than 12</w:t>
            </w:r>
          </w:p>
        </w:tc>
        <w:tc>
          <w:tcPr>
            <w:tcW w:w="180" w:type="dxa"/>
            <w:vAlign w:val="bottom"/>
          </w:tcPr>
          <w:p>
            <w:pPr>
              <w:spacing w:after="0"/>
              <w:rPr>
                <w:sz w:val="15"/>
                <w:szCs w:val="15"/>
                <w:color w:val="auto"/>
              </w:rPr>
            </w:pPr>
          </w:p>
        </w:tc>
        <w:tc>
          <w:tcPr>
            <w:tcW w:w="1260" w:type="dxa"/>
            <w:vAlign w:val="bottom"/>
          </w:tcPr>
          <w:p>
            <w:pPr>
              <w:jc w:val="center"/>
              <w:ind w:right="99"/>
              <w:spacing w:after="0" w:line="181" w:lineRule="exact"/>
              <w:rPr>
                <w:sz w:val="20"/>
                <w:szCs w:val="20"/>
                <w:color w:val="auto"/>
              </w:rPr>
            </w:pPr>
            <w:r>
              <w:rPr>
                <w:rFonts w:ascii="Times New Roman" w:cs="Times New Roman" w:eastAsia="Times New Roman" w:hAnsi="Times New Roman"/>
                <w:sz w:val="16"/>
                <w:szCs w:val="16"/>
                <w:b w:val="1"/>
                <w:bCs w:val="1"/>
                <w:color w:val="auto"/>
                <w:w w:val="99"/>
              </w:rPr>
              <w:t>More than 12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60"/>
              <w:spacing w:after="0" w:line="181" w:lineRule="exact"/>
              <w:rPr>
                <w:sz w:val="20"/>
                <w:szCs w:val="20"/>
                <w:color w:val="auto"/>
              </w:rPr>
            </w:pPr>
            <w:r>
              <w:rPr>
                <w:rFonts w:ascii="Times New Roman" w:cs="Times New Roman" w:eastAsia="Times New Roman" w:hAnsi="Times New Roman"/>
                <w:sz w:val="16"/>
                <w:szCs w:val="16"/>
                <w:b w:val="1"/>
                <w:bCs w:val="1"/>
                <w:color w:val="auto"/>
              </w:rPr>
              <w:t>Fair</w:t>
            </w:r>
          </w:p>
        </w:tc>
        <w:tc>
          <w:tcPr>
            <w:tcW w:w="15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39"/>
        </w:trPr>
        <w:tc>
          <w:tcPr>
            <w:tcW w:w="2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Months</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175"/>
        </w:trPr>
        <w:tc>
          <w:tcPr>
            <w:tcW w:w="200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U.S. Treasury securities and</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0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obligations of U.S.</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government corporations</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agencies (1)</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997,188</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996,250</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189"/>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Political subdivisions of</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0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States, Territories and</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Possessions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24,121,154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(2,542,986)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21,704,557</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0" w:type="dxa"/>
            <w:vAlign w:val="bottom"/>
          </w:tcPr>
          <w:p>
            <w:pPr>
              <w:spacing w:after="0"/>
              <w:rPr>
                <w:sz w:val="1"/>
                <w:szCs w:val="1"/>
                <w:color w:val="auto"/>
              </w:rPr>
            </w:pPr>
          </w:p>
        </w:tc>
      </w:tr>
      <w:tr>
        <w:trPr>
          <w:trHeight w:val="33"/>
        </w:trPr>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 bonds</w:t>
            </w:r>
          </w:p>
        </w:tc>
        <w:tc>
          <w:tcPr>
            <w:tcW w:w="24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139,024,714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94,103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(843,219)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(2,828,182)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135,447,416</w:t>
            </w:r>
          </w:p>
        </w:tc>
        <w:tc>
          <w:tcPr>
            <w:tcW w:w="100" w:type="dxa"/>
            <w:vAlign w:val="bottom"/>
            <w:shd w:val="clear" w:color="auto" w:fill="CCEEFF"/>
          </w:tcPr>
          <w:p>
            <w:pPr>
              <w:spacing w:after="0"/>
              <w:rPr>
                <w:sz w:val="16"/>
                <w:szCs w:val="16"/>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46.1 %</w:t>
            </w:r>
          </w:p>
        </w:tc>
        <w:tc>
          <w:tcPr>
            <w:tcW w:w="0" w:type="dxa"/>
            <w:vAlign w:val="bottom"/>
          </w:tcPr>
          <w:p>
            <w:pPr>
              <w:spacing w:after="0"/>
              <w:rPr>
                <w:sz w:val="1"/>
                <w:szCs w:val="1"/>
                <w:color w:val="auto"/>
              </w:rPr>
            </w:pPr>
          </w:p>
        </w:tc>
      </w:tr>
      <w:tr>
        <w:trPr>
          <w:trHeight w:val="230"/>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 and miscellaneous</w:t>
            </w:r>
          </w:p>
        </w:tc>
        <w:tc>
          <w:tcPr>
            <w:tcW w:w="2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Residential mortgage and</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0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other asset backed securities</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 (2)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139,959,828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713,599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(461,679)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(4,559,545)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135,652,203</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46.2 %</w:t>
            </w:r>
          </w:p>
        </w:tc>
        <w:tc>
          <w:tcPr>
            <w:tcW w:w="0" w:type="dxa"/>
            <w:vAlign w:val="bottom"/>
          </w:tcPr>
          <w:p>
            <w:pPr>
              <w:spacing w:after="0"/>
              <w:rPr>
                <w:sz w:val="1"/>
                <w:szCs w:val="1"/>
                <w:color w:val="auto"/>
              </w:rPr>
            </w:pPr>
          </w:p>
        </w:tc>
      </w:tr>
      <w:tr>
        <w:trPr>
          <w:trHeight w:val="33"/>
        </w:trPr>
        <w:tc>
          <w:tcPr>
            <w:tcW w:w="1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00" w:type="dxa"/>
            <w:vAlign w:val="bottom"/>
            <w:gridSpan w:val="2"/>
            <w:shd w:val="clear" w:color="auto" w:fill="CCEEFF"/>
          </w:tcPr>
          <w:p>
            <w:pPr>
              <w:ind w:left="180"/>
              <w:spacing w:after="0" w:line="169" w:lineRule="exact"/>
              <w:rPr>
                <w:sz w:val="20"/>
                <w:szCs w:val="20"/>
                <w:color w:val="auto"/>
              </w:rPr>
            </w:pPr>
            <w:r>
              <w:rPr>
                <w:rFonts w:ascii="Times New Roman" w:cs="Times New Roman" w:eastAsia="Times New Roman" w:hAnsi="Times New Roman"/>
                <w:sz w:val="16"/>
                <w:szCs w:val="16"/>
                <w:color w:val="auto"/>
              </w:rPr>
              <w:t>Total fixed-maturity</w:t>
            </w: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304,102,884</w:t>
            </w:r>
          </w:p>
        </w:tc>
        <w:tc>
          <w:tcPr>
            <w:tcW w:w="8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934,091</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(1,305,836)</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(9,930,713)</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293,800,426</w:t>
            </w:r>
          </w:p>
        </w:tc>
        <w:tc>
          <w:tcPr>
            <w:tcW w:w="10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23"/>
        </w:trPr>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Cost or</w:t>
            </w:r>
          </w:p>
        </w:tc>
        <w:tc>
          <w:tcPr>
            <w:tcW w:w="220" w:type="dxa"/>
            <w:vAlign w:val="bottom"/>
          </w:tcPr>
          <w:p>
            <w:pPr>
              <w:spacing w:after="0"/>
              <w:rPr>
                <w:sz w:val="18"/>
                <w:szCs w:val="18"/>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8"/>
                <w:szCs w:val="18"/>
                <w:color w:val="auto"/>
              </w:rPr>
            </w:pPr>
          </w:p>
        </w:tc>
        <w:tc>
          <w:tcPr>
            <w:tcW w:w="288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Gross Unrealized Losses</w:t>
            </w:r>
          </w:p>
        </w:tc>
        <w:tc>
          <w:tcPr>
            <w:tcW w:w="240" w:type="dxa"/>
            <w:vAlign w:val="bottom"/>
          </w:tcPr>
          <w:p>
            <w:pPr>
              <w:spacing w:after="0"/>
              <w:rPr>
                <w:sz w:val="18"/>
                <w:szCs w:val="18"/>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0" w:type="dxa"/>
            <w:vAlign w:val="bottom"/>
          </w:tcPr>
          <w:p>
            <w:pPr>
              <w:spacing w:after="0"/>
              <w:rPr>
                <w:sz w:val="1"/>
                <w:szCs w:val="1"/>
                <w:color w:val="auto"/>
              </w:rPr>
            </w:pPr>
          </w:p>
        </w:tc>
      </w:tr>
      <w:tr>
        <w:trPr>
          <w:trHeight w:val="31"/>
        </w:trPr>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5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20"/>
              <w:spacing w:after="0" w:line="167"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20" w:type="dxa"/>
            <w:vAlign w:val="bottom"/>
          </w:tcPr>
          <w:p>
            <w:pPr>
              <w:spacing w:after="0"/>
              <w:rPr>
                <w:sz w:val="14"/>
                <w:szCs w:val="14"/>
                <w:color w:val="auto"/>
              </w:rPr>
            </w:pPr>
          </w:p>
        </w:tc>
        <w:tc>
          <w:tcPr>
            <w:tcW w:w="1320" w:type="dxa"/>
            <w:vAlign w:val="bottom"/>
            <w:gridSpan w:val="2"/>
          </w:tcPr>
          <w:p>
            <w:pPr>
              <w:jc w:val="center"/>
              <w:ind w:right="320"/>
              <w:spacing w:after="0" w:line="167"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80" w:type="dxa"/>
            <w:vAlign w:val="bottom"/>
          </w:tcPr>
          <w:p>
            <w:pPr>
              <w:spacing w:after="0"/>
              <w:rPr>
                <w:sz w:val="14"/>
                <w:szCs w:val="14"/>
                <w:color w:val="auto"/>
              </w:rPr>
            </w:pPr>
          </w:p>
        </w:tc>
        <w:tc>
          <w:tcPr>
            <w:tcW w:w="1340" w:type="dxa"/>
            <w:vAlign w:val="bottom"/>
            <w:gridSpan w:val="2"/>
          </w:tcPr>
          <w:p>
            <w:pPr>
              <w:jc w:val="center"/>
              <w:ind w:right="280"/>
              <w:spacing w:after="0" w:line="167" w:lineRule="exact"/>
              <w:rPr>
                <w:sz w:val="20"/>
                <w:szCs w:val="20"/>
                <w:color w:val="auto"/>
              </w:rPr>
            </w:pPr>
            <w:r>
              <w:rPr>
                <w:rFonts w:ascii="Times New Roman" w:cs="Times New Roman" w:eastAsia="Times New Roman" w:hAnsi="Times New Roman"/>
                <w:sz w:val="16"/>
                <w:szCs w:val="16"/>
                <w:b w:val="1"/>
                <w:bCs w:val="1"/>
                <w:color w:val="auto"/>
              </w:rPr>
              <w:t>Less than 12</w:t>
            </w:r>
          </w:p>
        </w:tc>
        <w:tc>
          <w:tcPr>
            <w:tcW w:w="180" w:type="dxa"/>
            <w:vAlign w:val="bottom"/>
          </w:tcPr>
          <w:p>
            <w:pPr>
              <w:spacing w:after="0"/>
              <w:rPr>
                <w:sz w:val="14"/>
                <w:szCs w:val="14"/>
                <w:color w:val="auto"/>
              </w:rPr>
            </w:pPr>
          </w:p>
        </w:tc>
        <w:tc>
          <w:tcPr>
            <w:tcW w:w="1260" w:type="dxa"/>
            <w:vAlign w:val="bottom"/>
          </w:tcPr>
          <w:p>
            <w:pPr>
              <w:jc w:val="center"/>
              <w:ind w:right="99"/>
              <w:spacing w:after="0" w:line="167" w:lineRule="exact"/>
              <w:rPr>
                <w:sz w:val="20"/>
                <w:szCs w:val="20"/>
                <w:color w:val="auto"/>
              </w:rPr>
            </w:pPr>
            <w:r>
              <w:rPr>
                <w:rFonts w:ascii="Times New Roman" w:cs="Times New Roman" w:eastAsia="Times New Roman" w:hAnsi="Times New Roman"/>
                <w:sz w:val="16"/>
                <w:szCs w:val="16"/>
                <w:b w:val="1"/>
                <w:bCs w:val="1"/>
                <w:color w:val="auto"/>
                <w:w w:val="99"/>
              </w:rPr>
              <w:t>More than 12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60"/>
              <w:spacing w:after="0" w:line="167" w:lineRule="exact"/>
              <w:rPr>
                <w:sz w:val="20"/>
                <w:szCs w:val="20"/>
                <w:color w:val="auto"/>
              </w:rPr>
            </w:pPr>
            <w:r>
              <w:rPr>
                <w:rFonts w:ascii="Times New Roman" w:cs="Times New Roman" w:eastAsia="Times New Roman" w:hAnsi="Times New Roman"/>
                <w:sz w:val="16"/>
                <w:szCs w:val="16"/>
                <w:b w:val="1"/>
                <w:bCs w:val="1"/>
                <w:color w:val="auto"/>
              </w:rPr>
              <w:t>Fair</w:t>
            </w:r>
          </w:p>
        </w:tc>
        <w:tc>
          <w:tcPr>
            <w:tcW w:w="15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26"/>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24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2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8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18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Months</w:t>
            </w:r>
          </w:p>
        </w:tc>
        <w:tc>
          <w:tcPr>
            <w:tcW w:w="24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33"/>
        </w:trPr>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U.S. Treasury securities and</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 of U.S.</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government corporations</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agencies (1)</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997,124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1,007,190</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175"/>
        </w:trPr>
        <w:tc>
          <w:tcPr>
            <w:tcW w:w="200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Political subdivisions of</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States, Territories and</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Possessions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24,125,578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(2,534,725)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21,773,433</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33"/>
        </w:trPr>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0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Corporate and other bonds</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 and miscellaneous</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131,958,643</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567,410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(118,901)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(2,540,470)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129,866,682</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0" w:type="dxa"/>
            <w:vAlign w:val="bottom"/>
          </w:tcPr>
          <w:p>
            <w:pPr>
              <w:spacing w:after="0"/>
              <w:rPr>
                <w:sz w:val="1"/>
                <w:szCs w:val="1"/>
                <w:color w:val="auto"/>
              </w:rPr>
            </w:pPr>
          </w:p>
        </w:tc>
      </w:tr>
      <w:tr>
        <w:trPr>
          <w:trHeight w:val="175"/>
        </w:trPr>
        <w:tc>
          <w:tcPr>
            <w:tcW w:w="200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6"/>
                <w:szCs w:val="16"/>
                <w:color w:val="auto"/>
              </w:rPr>
              <w:t>Residential mortgage and</w:t>
            </w: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asset backed securities</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 (2)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139,656,710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1,273,816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(4,477,673)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136,389,885</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0" w:type="dxa"/>
            <w:vAlign w:val="bottom"/>
          </w:tcPr>
          <w:p>
            <w:pPr>
              <w:spacing w:after="0"/>
              <w:rPr>
                <w:sz w:val="1"/>
                <w:szCs w:val="1"/>
                <w:color w:val="auto"/>
              </w:rPr>
            </w:pPr>
          </w:p>
        </w:tc>
      </w:tr>
      <w:tr>
        <w:trPr>
          <w:trHeight w:val="33"/>
        </w:trPr>
        <w:tc>
          <w:tcPr>
            <w:tcW w:w="1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000" w:type="dxa"/>
            <w:vAlign w:val="bottom"/>
            <w:gridSpan w:val="2"/>
            <w:shd w:val="clear" w:color="auto" w:fill="CCEEFF"/>
          </w:tcPr>
          <w:p>
            <w:pPr>
              <w:ind w:left="180"/>
              <w:spacing w:after="0" w:line="155" w:lineRule="exact"/>
              <w:rPr>
                <w:sz w:val="20"/>
                <w:szCs w:val="20"/>
                <w:color w:val="auto"/>
              </w:rPr>
            </w:pPr>
            <w:r>
              <w:rPr>
                <w:rFonts w:ascii="Times New Roman" w:cs="Times New Roman" w:eastAsia="Times New Roman" w:hAnsi="Times New Roman"/>
                <w:sz w:val="16"/>
                <w:szCs w:val="16"/>
                <w:color w:val="auto"/>
              </w:rPr>
              <w:t>Total fixed-maturity</w:t>
            </w: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296,738,055</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2,033,872</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(181,869)</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(9,552,868)</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289,037,190</w:t>
            </w:r>
          </w:p>
        </w:tc>
        <w:tc>
          <w:tcPr>
            <w:tcW w:w="10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33"/>
        </w:trPr>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left="1080" w:hanging="1072"/>
        <w:spacing w:after="0" w:line="259" w:lineRule="auto"/>
        <w:tabs>
          <w:tab w:leader="none" w:pos="107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October 2022, KICO placed certain U.S. Treasury securities to fulfill the required collateral for a sale leaseback transaction in a designated custodian account (see Note 7 – Debt - “Equipment Financing”). As of December 31, 2024. KICO had sold its U.S. Treasury securities and replaced a portion of its other fixed-maturity securities in the designated custodian account. As of March 31, 2026 and December 31, 2025, the amount of required collateral was approximately $3,193,000 and $3,616,000, respectively. As of March 31, 2026 and December 31, 2025, the estimated fair value of the eligible collateral was approximately $3,193,000 and $3,616,000, respectively.</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1080" w:hanging="1072"/>
        <w:spacing w:after="0" w:line="263" w:lineRule="auto"/>
        <w:tabs>
          <w:tab w:leader="none" w:pos="107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KICO has placed certain residential mortgage backed securities as eligible collateral in a designated custodian account related to its membership in the Federal Home Loan Bank of New York ("FHLBNY") (see Note 7 – Debt – “Federal Home Loan Bank”). The eligible collateral would be pledged to FHLBNY if KICO draws an advance from the FHLBNY credit line. As of March 31, 2026, the estimated fair value of the eligible investments was approximately $9,313,000. KICO will retain all rights regarding all securities if pledged as collateral. As of March 31, 2026 and December 31, 2025 there was no outstanding balance on the FHLBNY credit line.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u w:val="single" w:color="auto"/>
          <w:color w:val="auto"/>
        </w:rPr>
        <w:t>Equity Securities</w:t>
      </w:r>
    </w:p>
    <w:p>
      <w:pPr>
        <w:spacing w:after="0" w:line="221" w:lineRule="exact"/>
        <w:rPr>
          <w:sz w:val="20"/>
          <w:szCs w:val="20"/>
          <w:color w:val="auto"/>
        </w:rPr>
      </w:pPr>
    </w:p>
    <w:p>
      <w:pPr>
        <w:ind w:firstLine="648"/>
        <w:spacing w:after="0" w:line="298" w:lineRule="auto"/>
        <w:rPr>
          <w:sz w:val="20"/>
          <w:szCs w:val="20"/>
          <w:color w:val="auto"/>
        </w:rPr>
      </w:pPr>
      <w:r>
        <w:rPr>
          <w:rFonts w:ascii="Times New Roman" w:cs="Times New Roman" w:eastAsia="Times New Roman" w:hAnsi="Times New Roman"/>
          <w:sz w:val="16"/>
          <w:szCs w:val="16"/>
          <w:color w:val="auto"/>
        </w:rPr>
        <w:t>The following table presents a breakdown of the cost and estimated fair value of, and gross gains and losses on, investments in equity securities as of March 31, 2026 and December 31, 2025: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r>
      <w:tr>
        <w:trPr>
          <w:trHeight w:val="183"/>
        </w:trPr>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r>
      <w:tr>
        <w:trPr>
          <w:trHeight w:val="176"/>
        </w:trPr>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ind w:left="340"/>
              <w:spacing w:after="0" w:line="175"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220" w:type="dxa"/>
            <w:vAlign w:val="bottom"/>
          </w:tcPr>
          <w:p>
            <w:pPr>
              <w:spacing w:after="0"/>
              <w:rPr>
                <w:sz w:val="15"/>
                <w:szCs w:val="15"/>
                <w:color w:val="auto"/>
              </w:rPr>
            </w:pPr>
          </w:p>
        </w:tc>
        <w:tc>
          <w:tcPr>
            <w:tcW w:w="1320" w:type="dxa"/>
            <w:vAlign w:val="bottom"/>
            <w:gridSpan w:val="2"/>
          </w:tcPr>
          <w:p>
            <w:pPr>
              <w:ind w:left="140"/>
              <w:spacing w:after="0" w:line="175"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16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Estimated</w:t>
            </w:r>
          </w:p>
        </w:tc>
      </w:tr>
      <w:tr>
        <w:trPr>
          <w:trHeight w:val="239"/>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20"/>
                <w:szCs w:val="20"/>
                <w:color w:val="auto"/>
              </w:rPr>
            </w:pPr>
          </w:p>
        </w:tc>
        <w:tc>
          <w:tcPr>
            <w:tcW w:w="1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467"/>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Equity Securities: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3"/>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3"/>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9,750,322</w:t>
            </w:r>
          </w:p>
        </w:tc>
        <w:tc>
          <w:tcPr>
            <w:tcW w:w="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(2,946,422)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6,803,900</w:t>
            </w: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69.1 %</w:t>
            </w:r>
          </w:p>
        </w:tc>
      </w:tr>
      <w:tr>
        <w:trPr>
          <w:trHeight w:val="210"/>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Fixed income exchange traded funds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3,711,232</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(760,432)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2,950,800</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30.0 %</w:t>
            </w:r>
          </w:p>
        </w:tc>
      </w:tr>
      <w:tr>
        <w:trPr>
          <w:trHeight w:val="33"/>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FHLBNY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85,100</w:t>
            </w: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85,100</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r>
      <w:tr>
        <w:trPr>
          <w:trHeight w:val="204"/>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13,546,654</w:t>
            </w:r>
          </w:p>
        </w:tc>
        <w:tc>
          <w:tcPr>
            <w:tcW w:w="80" w:type="dxa"/>
            <w:vAlign w:val="bottom"/>
          </w:tcPr>
          <w:p>
            <w:pPr>
              <w:spacing w:after="0"/>
              <w:rPr>
                <w:sz w:val="17"/>
                <w:szCs w:val="17"/>
                <w:color w:val="auto"/>
              </w:rPr>
            </w:pPr>
          </w:p>
        </w:tc>
        <w:tc>
          <w:tcPr>
            <w:tcW w:w="1220" w:type="dxa"/>
            <w:vAlign w:val="bottom"/>
            <w:tcBorders>
              <w:top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(3,706,854)</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9,839,800</w:t>
            </w:r>
          </w:p>
        </w:tc>
        <w:tc>
          <w:tcPr>
            <w:tcW w:w="80" w:type="dxa"/>
            <w:vAlign w:val="bottom"/>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33"/>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544"/>
        </w:trPr>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170"/>
        </w:trPr>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ind w:left="520"/>
              <w:spacing w:after="0" w:line="170" w:lineRule="exact"/>
              <w:rPr>
                <w:sz w:val="20"/>
                <w:szCs w:val="20"/>
                <w:color w:val="auto"/>
              </w:rPr>
            </w:pPr>
            <w:r>
              <w:rPr>
                <w:rFonts w:ascii="Times New Roman" w:cs="Times New Roman" w:eastAsia="Times New Roman" w:hAnsi="Times New Roman"/>
                <w:sz w:val="16"/>
                <w:szCs w:val="16"/>
                <w:b w:val="1"/>
                <w:bCs w:val="1"/>
                <w:color w:val="auto"/>
              </w:rPr>
              <w:t>Gross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00"/>
              <w:spacing w:after="0" w:line="170"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jc w:val="center"/>
              <w:spacing w:after="0" w:line="170" w:lineRule="exact"/>
              <w:rPr>
                <w:sz w:val="20"/>
                <w:szCs w:val="20"/>
                <w:color w:val="auto"/>
              </w:rPr>
            </w:pPr>
            <w:r>
              <w:rPr>
                <w:rFonts w:ascii="Times New Roman" w:cs="Times New Roman" w:eastAsia="Times New Roman" w:hAnsi="Times New Roman"/>
                <w:sz w:val="16"/>
                <w:szCs w:val="16"/>
                <w:b w:val="1"/>
                <w:bCs w:val="1"/>
                <w:color w:val="auto"/>
              </w:rPr>
              <w:t>% of</w:t>
            </w:r>
          </w:p>
        </w:tc>
      </w:tr>
      <w:tr>
        <w:trPr>
          <w:trHeight w:val="189"/>
        </w:trPr>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22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212"/>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3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2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33"/>
        </w:trPr>
        <w:tc>
          <w:tcPr>
            <w:tcW w:w="3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460"/>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Equity Securities: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3"/>
        </w:trPr>
        <w:tc>
          <w:tcPr>
            <w:tcW w:w="34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3"/>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9,750,322</w:t>
            </w:r>
          </w:p>
        </w:tc>
        <w:tc>
          <w:tcPr>
            <w:tcW w:w="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(2,765,627)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6,984,695</w:t>
            </w: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69.5 %</w:t>
            </w:r>
          </w:p>
        </w:tc>
      </w:tr>
      <w:tr>
        <w:trPr>
          <w:trHeight w:val="210"/>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Fixed income exchange traded funds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3,711,232</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(724,432)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2,986,800</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29.7 %</w:t>
            </w:r>
          </w:p>
        </w:tc>
      </w:tr>
      <w:tr>
        <w:trPr>
          <w:trHeight w:val="33"/>
        </w:trPr>
        <w:tc>
          <w:tcPr>
            <w:tcW w:w="34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FHLBNY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85,100</w:t>
            </w: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85,100</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04"/>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13,546,654</w:t>
            </w:r>
          </w:p>
        </w:tc>
        <w:tc>
          <w:tcPr>
            <w:tcW w:w="80" w:type="dxa"/>
            <w:vAlign w:val="bottom"/>
          </w:tcPr>
          <w:p>
            <w:pPr>
              <w:spacing w:after="0"/>
              <w:rPr>
                <w:sz w:val="17"/>
                <w:szCs w:val="17"/>
                <w:color w:val="auto"/>
              </w:rPr>
            </w:pPr>
          </w:p>
        </w:tc>
        <w:tc>
          <w:tcPr>
            <w:tcW w:w="1220" w:type="dxa"/>
            <w:vAlign w:val="bottom"/>
            <w:tcBorders>
              <w:top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(3,490,059)</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10,056,595</w:t>
            </w:r>
          </w:p>
        </w:tc>
        <w:tc>
          <w:tcPr>
            <w:tcW w:w="80" w:type="dxa"/>
            <w:vAlign w:val="bottom"/>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33"/>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u w:val="single" w:color="auto"/>
          <w:color w:val="auto"/>
        </w:rPr>
        <w:t>Other Investments</w:t>
      </w: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presents a breakdown of the cost and estimated fair value of, and gross gains on our other investments as of March 31, 2026 and December 31,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2025:</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67"/>
        </w:trPr>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jc w:val="center"/>
              <w:ind w:right="280"/>
              <w:spacing w:after="0" w:line="167"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ind w:left="140"/>
              <w:spacing w:after="0" w:line="167"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ind w:left="220"/>
              <w:spacing w:after="0" w:line="167" w:lineRule="exact"/>
              <w:rPr>
                <w:sz w:val="20"/>
                <w:szCs w:val="20"/>
                <w:color w:val="auto"/>
              </w:rPr>
            </w:pPr>
            <w:r>
              <w:rPr>
                <w:rFonts w:ascii="Times New Roman" w:cs="Times New Roman" w:eastAsia="Times New Roman" w:hAnsi="Times New Roman"/>
                <w:sz w:val="16"/>
                <w:szCs w:val="16"/>
                <w:b w:val="1"/>
                <w:bCs w:val="1"/>
                <w:color w:val="auto"/>
              </w:rPr>
              <w:t>Gross</w:t>
            </w: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ind w:left="140"/>
              <w:spacing w:after="0" w:line="167" w:lineRule="exact"/>
              <w:rPr>
                <w:sz w:val="20"/>
                <w:szCs w:val="20"/>
                <w:color w:val="auto"/>
              </w:rPr>
            </w:pPr>
            <w:r>
              <w:rPr>
                <w:rFonts w:ascii="Times New Roman" w:cs="Times New Roman" w:eastAsia="Times New Roman" w:hAnsi="Times New Roman"/>
                <w:sz w:val="16"/>
                <w:szCs w:val="16"/>
                <w:b w:val="1"/>
                <w:bCs w:val="1"/>
                <w:color w:val="auto"/>
              </w:rPr>
              <w:t>Estimated</w:t>
            </w:r>
          </w:p>
        </w:tc>
      </w:tr>
      <w:tr>
        <w:trPr>
          <w:trHeight w:val="212"/>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32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2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4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300" w:type="dxa"/>
            <w:vAlign w:val="bottom"/>
          </w:tcPr>
          <w:p>
            <w:pPr>
              <w:spacing w:after="0"/>
              <w:rPr>
                <w:sz w:val="18"/>
                <w:szCs w:val="18"/>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240" w:type="dxa"/>
            <w:vAlign w:val="bottom"/>
          </w:tcPr>
          <w:p>
            <w:pPr>
              <w:spacing w:after="0"/>
              <w:rPr>
                <w:sz w:val="18"/>
                <w:szCs w:val="18"/>
                <w:color w:val="auto"/>
              </w:rPr>
            </w:pPr>
          </w:p>
        </w:tc>
        <w:tc>
          <w:tcPr>
            <w:tcW w:w="12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33"/>
        </w:trPr>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460"/>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Investments: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3"/>
        </w:trPr>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8"/>
        </w:trPr>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Hedge fund</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1,987,040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1,769,709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3,756,749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1,987,040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2,565,338</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4,552,378</w:t>
            </w: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u w:val="single" w:color="auto"/>
          <w:color w:val="auto"/>
        </w:rPr>
        <w:t>Held-to-Maturity Securities</w:t>
      </w:r>
    </w:p>
    <w:p>
      <w:pPr>
        <w:spacing w:after="0" w:line="221" w:lineRule="exact"/>
        <w:rPr>
          <w:sz w:val="20"/>
          <w:szCs w:val="20"/>
          <w:color w:val="auto"/>
        </w:rPr>
      </w:pPr>
    </w:p>
    <w:p>
      <w:pPr>
        <w:ind w:right="20" w:firstLine="648"/>
        <w:spacing w:after="0" w:line="298" w:lineRule="auto"/>
        <w:rPr>
          <w:sz w:val="20"/>
          <w:szCs w:val="20"/>
          <w:color w:val="auto"/>
        </w:rPr>
      </w:pPr>
      <w:r>
        <w:rPr>
          <w:rFonts w:ascii="Times New Roman" w:cs="Times New Roman" w:eastAsia="Times New Roman" w:hAnsi="Times New Roman"/>
          <w:sz w:val="16"/>
          <w:szCs w:val="16"/>
          <w:color w:val="auto"/>
        </w:rPr>
        <w:t>The following table presents a breakdown of the amortized cost and estimated fair value of, and gross unrealized gains and losses on, investments in held-to-maturity securities as of March 31, 2026 and December 31, 2025: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7"/>
        </w:trPr>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Cost or</w:t>
            </w:r>
          </w:p>
        </w:tc>
        <w:tc>
          <w:tcPr>
            <w:tcW w:w="1220" w:type="dxa"/>
            <w:vAlign w:val="bottom"/>
            <w:vMerge w:val="restart"/>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Gross Unrealized Losses</w:t>
            </w:r>
          </w:p>
        </w:tc>
        <w:tc>
          <w:tcPr>
            <w:tcW w:w="220" w:type="dxa"/>
            <w:vAlign w:val="bottom"/>
          </w:tcPr>
          <w:p>
            <w:pPr>
              <w:spacing w:after="0"/>
              <w:rPr>
                <w:sz w:val="24"/>
                <w:szCs w:val="24"/>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2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5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1220" w:type="dxa"/>
            <w:vAlign w:val="bottom"/>
          </w:tcPr>
          <w:p>
            <w:pPr>
              <w:jc w:val="center"/>
              <w:ind w:left="119"/>
              <w:spacing w:after="0" w:line="181"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6"/>
                <w:szCs w:val="16"/>
                <w:b w:val="1"/>
                <w:bCs w:val="1"/>
                <w:color w:val="auto"/>
              </w:rPr>
              <w:t>Less than 12</w:t>
            </w:r>
          </w:p>
        </w:tc>
        <w:tc>
          <w:tcPr>
            <w:tcW w:w="180" w:type="dxa"/>
            <w:vAlign w:val="bottom"/>
          </w:tcPr>
          <w:p>
            <w:pPr>
              <w:spacing w:after="0"/>
              <w:rPr>
                <w:sz w:val="15"/>
                <w:szCs w:val="15"/>
                <w:color w:val="auto"/>
              </w:rPr>
            </w:pPr>
          </w:p>
        </w:tc>
        <w:tc>
          <w:tcPr>
            <w:tcW w:w="1260" w:type="dxa"/>
            <w:vAlign w:val="bottom"/>
          </w:tcPr>
          <w:p>
            <w:pPr>
              <w:jc w:val="center"/>
              <w:ind w:right="79"/>
              <w:spacing w:after="0" w:line="181" w:lineRule="exact"/>
              <w:rPr>
                <w:sz w:val="20"/>
                <w:szCs w:val="20"/>
                <w:color w:val="auto"/>
              </w:rPr>
            </w:pPr>
            <w:r>
              <w:rPr>
                <w:rFonts w:ascii="Times New Roman" w:cs="Times New Roman" w:eastAsia="Times New Roman" w:hAnsi="Times New Roman"/>
                <w:sz w:val="16"/>
                <w:szCs w:val="16"/>
                <w:b w:val="1"/>
                <w:bCs w:val="1"/>
                <w:color w:val="auto"/>
              </w:rPr>
              <w:t>More than 12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40"/>
              <w:spacing w:after="0" w:line="181" w:lineRule="exact"/>
              <w:rPr>
                <w:sz w:val="20"/>
                <w:szCs w:val="20"/>
                <w:color w:val="auto"/>
              </w:rPr>
            </w:pPr>
            <w:r>
              <w:rPr>
                <w:rFonts w:ascii="Times New Roman" w:cs="Times New Roman" w:eastAsia="Times New Roman" w:hAnsi="Times New Roman"/>
                <w:sz w:val="16"/>
                <w:szCs w:val="16"/>
                <w:b w:val="1"/>
                <w:bCs w:val="1"/>
                <w:color w:val="auto"/>
              </w:rPr>
              <w:t>Fair</w:t>
            </w:r>
          </w:p>
        </w:tc>
        <w:tc>
          <w:tcPr>
            <w:tcW w:w="15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39"/>
        </w:trPr>
        <w:tc>
          <w:tcPr>
            <w:tcW w:w="1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0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443"/>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Held-to-Maturity</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1,229,571</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(28,420)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1,196,587</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10"/>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Exchange traded debt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304,111</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247,000</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 bonds</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 and</w:t>
            </w:r>
          </w:p>
        </w:tc>
        <w:tc>
          <w:tcPr>
            <w:tcW w:w="24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4,507,334</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(897,784)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3,609,550</w:t>
            </w:r>
          </w:p>
        </w:tc>
        <w:tc>
          <w:tcPr>
            <w:tcW w:w="100" w:type="dxa"/>
            <w:vAlign w:val="bottom"/>
            <w:shd w:val="clear" w:color="auto" w:fill="CCEEFF"/>
          </w:tcPr>
          <w:p>
            <w:pPr>
              <w:spacing w:after="0"/>
              <w:rPr>
                <w:sz w:val="16"/>
                <w:szCs w:val="16"/>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0" w:type="dxa"/>
            <w:vAlign w:val="bottom"/>
          </w:tcPr>
          <w:p>
            <w:pPr>
              <w:spacing w:after="0"/>
              <w:rPr>
                <w:sz w:val="1"/>
                <w:szCs w:val="1"/>
                <w:color w:val="auto"/>
              </w:rPr>
            </w:pPr>
          </w:p>
        </w:tc>
      </w:tr>
      <w:tr>
        <w:trPr>
          <w:trHeight w:val="230"/>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miscellaneous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6,041,016</w:t>
            </w:r>
          </w:p>
        </w:tc>
        <w:tc>
          <w:tcPr>
            <w:tcW w:w="100" w:type="dxa"/>
            <w:vAlign w:val="bottom"/>
          </w:tcPr>
          <w:p>
            <w:pPr>
              <w:spacing w:after="0"/>
              <w:rPr>
                <w:sz w:val="17"/>
                <w:szCs w:val="17"/>
                <w:color w:val="auto"/>
              </w:rPr>
            </w:pPr>
          </w:p>
        </w:tc>
        <w:tc>
          <w:tcPr>
            <w:tcW w:w="1220" w:type="dxa"/>
            <w:vAlign w:val="bottom"/>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(4,564)</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(983,315)</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5,053,137</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4"/>
        </w:trPr>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Cost or</w:t>
            </w:r>
          </w:p>
        </w:tc>
        <w:tc>
          <w:tcPr>
            <w:tcW w:w="1220" w:type="dxa"/>
            <w:vAlign w:val="bottom"/>
            <w:vMerge w:val="restart"/>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Gross Unrealized Losses</w:t>
            </w:r>
          </w:p>
        </w:tc>
        <w:tc>
          <w:tcPr>
            <w:tcW w:w="220" w:type="dxa"/>
            <w:vAlign w:val="bottom"/>
          </w:tcPr>
          <w:p>
            <w:pPr>
              <w:spacing w:after="0"/>
              <w:rPr>
                <w:sz w:val="24"/>
                <w:szCs w:val="24"/>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2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5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1220" w:type="dxa"/>
            <w:vAlign w:val="bottom"/>
          </w:tcPr>
          <w:p>
            <w:pPr>
              <w:jc w:val="center"/>
              <w:ind w:left="119"/>
              <w:spacing w:after="0" w:line="181"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6"/>
                <w:szCs w:val="16"/>
                <w:b w:val="1"/>
                <w:bCs w:val="1"/>
                <w:color w:val="auto"/>
              </w:rPr>
              <w:t>Less than 12</w:t>
            </w:r>
          </w:p>
        </w:tc>
        <w:tc>
          <w:tcPr>
            <w:tcW w:w="180" w:type="dxa"/>
            <w:vAlign w:val="bottom"/>
          </w:tcPr>
          <w:p>
            <w:pPr>
              <w:spacing w:after="0"/>
              <w:rPr>
                <w:sz w:val="15"/>
                <w:szCs w:val="15"/>
                <w:color w:val="auto"/>
              </w:rPr>
            </w:pPr>
          </w:p>
        </w:tc>
        <w:tc>
          <w:tcPr>
            <w:tcW w:w="1260" w:type="dxa"/>
            <w:vAlign w:val="bottom"/>
          </w:tcPr>
          <w:p>
            <w:pPr>
              <w:jc w:val="center"/>
              <w:ind w:right="79"/>
              <w:spacing w:after="0" w:line="181" w:lineRule="exact"/>
              <w:rPr>
                <w:sz w:val="20"/>
                <w:szCs w:val="20"/>
                <w:color w:val="auto"/>
              </w:rPr>
            </w:pPr>
            <w:r>
              <w:rPr>
                <w:rFonts w:ascii="Times New Roman" w:cs="Times New Roman" w:eastAsia="Times New Roman" w:hAnsi="Times New Roman"/>
                <w:sz w:val="16"/>
                <w:szCs w:val="16"/>
                <w:b w:val="1"/>
                <w:bCs w:val="1"/>
                <w:color w:val="auto"/>
              </w:rPr>
              <w:t>More than 12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40"/>
              <w:spacing w:after="0" w:line="181" w:lineRule="exact"/>
              <w:rPr>
                <w:sz w:val="20"/>
                <w:szCs w:val="20"/>
                <w:color w:val="auto"/>
              </w:rPr>
            </w:pPr>
            <w:r>
              <w:rPr>
                <w:rFonts w:ascii="Times New Roman" w:cs="Times New Roman" w:eastAsia="Times New Roman" w:hAnsi="Times New Roman"/>
                <w:sz w:val="16"/>
                <w:szCs w:val="16"/>
                <w:b w:val="1"/>
                <w:bCs w:val="1"/>
                <w:color w:val="auto"/>
              </w:rPr>
              <w:t>Fair</w:t>
            </w:r>
          </w:p>
        </w:tc>
        <w:tc>
          <w:tcPr>
            <w:tcW w:w="15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12"/>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24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220" w:type="dxa"/>
            <w:vAlign w:val="bottom"/>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1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Months</w:t>
            </w: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33"/>
        </w:trPr>
        <w:tc>
          <w:tcPr>
            <w:tcW w:w="1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7"/>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Held-to-Maturity</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1,229,490</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1,204,337</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10"/>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Exchange traded debt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304,111</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242,000</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33"/>
        </w:trPr>
        <w:tc>
          <w:tcPr>
            <w:tcW w:w="19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 bonds</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96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Industrial and</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miscellaneous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4,508,747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(817,817)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3,690,930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0" w:type="dxa"/>
            <w:vAlign w:val="bottom"/>
          </w:tcPr>
          <w:p>
            <w:pPr>
              <w:spacing w:after="0"/>
              <w:rPr>
                <w:sz w:val="1"/>
                <w:szCs w:val="1"/>
                <w:color w:val="auto"/>
              </w:rPr>
            </w:pPr>
          </w:p>
        </w:tc>
      </w:tr>
      <w:tr>
        <w:trPr>
          <w:trHeight w:val="204"/>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6,042,348</w:t>
            </w:r>
          </w:p>
        </w:tc>
        <w:tc>
          <w:tcPr>
            <w:tcW w:w="100" w:type="dxa"/>
            <w:vAlign w:val="bottom"/>
          </w:tcPr>
          <w:p>
            <w:pPr>
              <w:spacing w:after="0"/>
              <w:rPr>
                <w:sz w:val="17"/>
                <w:szCs w:val="17"/>
                <w:color w:val="auto"/>
              </w:rPr>
            </w:pPr>
          </w:p>
        </w:tc>
        <w:tc>
          <w:tcPr>
            <w:tcW w:w="1220" w:type="dxa"/>
            <w:vAlign w:val="bottom"/>
            <w:tcBorders>
              <w:top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(3,070)</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(902,011)</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5,137,267</w:t>
            </w:r>
          </w:p>
        </w:tc>
        <w:tc>
          <w:tcPr>
            <w:tcW w:w="100" w:type="dxa"/>
            <w:vAlign w:val="bottom"/>
          </w:tcPr>
          <w:p>
            <w:pPr>
              <w:spacing w:after="0"/>
              <w:rPr>
                <w:sz w:val="17"/>
                <w:szCs w:val="17"/>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Held-to-maturity U.S. Treasury securities are held in trust pursuant to various states’ minimum fund requirements.</w:t>
      </w:r>
    </w:p>
    <w:p>
      <w:pPr>
        <w:spacing w:after="0" w:line="235" w:lineRule="exact"/>
        <w:rPr>
          <w:sz w:val="20"/>
          <w:szCs w:val="20"/>
          <w:color w:val="auto"/>
        </w:rPr>
      </w:pPr>
    </w:p>
    <w:p>
      <w:pPr>
        <w:ind w:firstLine="648"/>
        <w:spacing w:after="0" w:line="280" w:lineRule="auto"/>
        <w:rPr>
          <w:sz w:val="20"/>
          <w:szCs w:val="20"/>
          <w:color w:val="auto"/>
        </w:rPr>
      </w:pPr>
      <w:r>
        <w:rPr>
          <w:rFonts w:ascii="Times New Roman" w:cs="Times New Roman" w:eastAsia="Times New Roman" w:hAnsi="Times New Roman"/>
          <w:sz w:val="16"/>
          <w:szCs w:val="16"/>
          <w:color w:val="auto"/>
        </w:rPr>
        <w:t>A summary of the amortized cost and fair value of our investments in held-to-maturity securities by contractual maturity as of March 31, 2026 and December 31, 2025 is shown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0" w:type="dxa"/>
            <w:vAlign w:val="bottom"/>
          </w:tcPr>
          <w:p>
            <w:pPr>
              <w:spacing w:after="0"/>
              <w:rPr>
                <w:sz w:val="18"/>
                <w:szCs w:val="18"/>
                <w:color w:val="auto"/>
              </w:rPr>
            </w:pPr>
          </w:p>
        </w:tc>
        <w:tc>
          <w:tcPr>
            <w:tcW w:w="2820" w:type="dxa"/>
            <w:vAlign w:val="bottom"/>
            <w:gridSpan w:val="4"/>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3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67"/>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center"/>
              <w:ind w:right="320"/>
              <w:spacing w:after="0" w:line="167" w:lineRule="exact"/>
              <w:rPr>
                <w:sz w:val="20"/>
                <w:szCs w:val="20"/>
                <w:color w:val="auto"/>
              </w:rPr>
            </w:pPr>
            <w:r>
              <w:rPr>
                <w:rFonts w:ascii="Times New Roman" w:cs="Times New Roman" w:eastAsia="Times New Roman" w:hAnsi="Times New Roman"/>
                <w:sz w:val="16"/>
                <w:szCs w:val="16"/>
                <w:b w:val="1"/>
                <w:bCs w:val="1"/>
                <w:color w:val="auto"/>
                <w:w w:val="98"/>
              </w:rPr>
              <w:t>Amortized</w:t>
            </w: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ind w:left="160"/>
              <w:spacing w:after="0" w:line="167"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jc w:val="center"/>
              <w:ind w:right="360"/>
              <w:spacing w:after="0" w:line="167"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19"/>
              <w:spacing w:after="0" w:line="167" w:lineRule="exact"/>
              <w:rPr>
                <w:sz w:val="20"/>
                <w:szCs w:val="20"/>
                <w:color w:val="auto"/>
              </w:rPr>
            </w:pPr>
            <w:r>
              <w:rPr>
                <w:rFonts w:ascii="Times New Roman" w:cs="Times New Roman" w:eastAsia="Times New Roman" w:hAnsi="Times New Roman"/>
                <w:sz w:val="16"/>
                <w:szCs w:val="16"/>
                <w:b w:val="1"/>
                <w:bCs w:val="1"/>
                <w:color w:val="auto"/>
              </w:rPr>
              <w:t>Estimated</w:t>
            </w:r>
          </w:p>
        </w:tc>
      </w:tr>
      <w:tr>
        <w:trPr>
          <w:trHeight w:val="212"/>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Remaining Time to Maturity</w:t>
            </w:r>
          </w:p>
        </w:tc>
        <w:tc>
          <w:tcPr>
            <w:tcW w:w="24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40" w:type="dxa"/>
            <w:vAlign w:val="bottom"/>
          </w:tcPr>
          <w:p>
            <w:pPr>
              <w:spacing w:after="0"/>
              <w:rPr>
                <w:sz w:val="18"/>
                <w:szCs w:val="18"/>
                <w:color w:val="auto"/>
              </w:rPr>
            </w:pPr>
          </w:p>
        </w:tc>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33"/>
        </w:trPr>
        <w:tc>
          <w:tcPr>
            <w:tcW w:w="4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4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23"/>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one year</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One to five years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2,066,759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2,014,576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2,063,366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2,029,462</w:t>
            </w:r>
          </w:p>
        </w:tc>
      </w:tr>
      <w:tr>
        <w:trPr>
          <w:trHeight w:val="3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Five to ten years</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More than 10 years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3,974,257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3,038,561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3,978,982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3,107,805</w:t>
            </w:r>
          </w:p>
        </w:tc>
      </w:tr>
      <w:tr>
        <w:trPr>
          <w:trHeight w:val="33"/>
        </w:trPr>
        <w:tc>
          <w:tcPr>
            <w:tcW w:w="4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1"/>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6,041,016</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5,053,137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6,042,348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5,137,267</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Rating of Fixed-Maturity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table below summarizes the credit quality of our available-for-sale fixed-maturity securities as of March 31, 2026 and December 31, 2025 as rated by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Standard &amp; Poor’s (or, if unavailable from Standard &amp; Poor’s, then Moody’s, Fitch, or Kroll):</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4"/>
          </w:tcPr>
          <w:p>
            <w:pPr>
              <w:ind w:left="8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20" w:type="dxa"/>
            <w:vAlign w:val="bottom"/>
          </w:tcPr>
          <w:p>
            <w:pPr>
              <w:spacing w:after="0"/>
              <w:rPr>
                <w:sz w:val="18"/>
                <w:szCs w:val="18"/>
                <w:color w:val="auto"/>
              </w:rPr>
            </w:pPr>
          </w:p>
        </w:tc>
        <w:tc>
          <w:tcPr>
            <w:tcW w:w="2920" w:type="dxa"/>
            <w:vAlign w:val="bottom"/>
            <w:gridSpan w:val="3"/>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8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340"/>
              <w:spacing w:after="0" w:line="181"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160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Percentage of</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340"/>
              <w:spacing w:after="0" w:line="181"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16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0" w:type="dxa"/>
            <w:vAlign w:val="bottom"/>
          </w:tcPr>
          <w:p>
            <w:pPr>
              <w:spacing w:after="0"/>
              <w:rPr>
                <w:sz w:val="1"/>
                <w:szCs w:val="1"/>
                <w:color w:val="auto"/>
              </w:rPr>
            </w:pPr>
          </w:p>
        </w:tc>
      </w:tr>
      <w:tr>
        <w:trPr>
          <w:trHeight w:val="43"/>
        </w:trPr>
        <w:tc>
          <w:tcPr>
            <w:tcW w:w="4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220" w:type="dxa"/>
            <w:vAlign w:val="bottom"/>
          </w:tcPr>
          <w:p>
            <w:pPr>
              <w:spacing w:after="0"/>
              <w:rPr>
                <w:sz w:val="3"/>
                <w:szCs w:val="3"/>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6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12"/>
        </w:trPr>
        <w:tc>
          <w:tcPr>
            <w:tcW w:w="4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464"/>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Rating</w:t>
            </w: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996,250</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1,007,198</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municipal bonds</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AAA</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3,372,416</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3,388,595</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AA</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18,651,893</w:t>
            </w: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18,728,005</w:t>
            </w: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72,860,540</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72,631,685</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BBB+</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32,359,278</w:t>
            </w: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29,128,976</w:t>
            </w: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BBB</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25,873,684</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24,203,080</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BBB-</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2,444,270</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1,958,225</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04"/>
        </w:trPr>
        <w:tc>
          <w:tcPr>
            <w:tcW w:w="4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corporate and municipal bonds</w:t>
            </w: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155,562,081</w:t>
            </w:r>
          </w:p>
        </w:tc>
        <w:tc>
          <w:tcPr>
            <w:tcW w:w="80" w:type="dxa"/>
            <w:vAlign w:val="bottom"/>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150,038,566</w:t>
            </w:r>
          </w:p>
        </w:tc>
        <w:tc>
          <w:tcPr>
            <w:tcW w:w="80" w:type="dxa"/>
            <w:vAlign w:val="bottom"/>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0" w:type="dxa"/>
            <w:vAlign w:val="bottom"/>
          </w:tcPr>
          <w:p>
            <w:pPr>
              <w:spacing w:after="0"/>
              <w:rPr>
                <w:sz w:val="1"/>
                <w:szCs w:val="1"/>
                <w:color w:val="auto"/>
              </w:rPr>
            </w:pPr>
          </w:p>
        </w:tc>
      </w:tr>
      <w:tr>
        <w:trPr>
          <w:trHeight w:val="33"/>
        </w:trPr>
        <w:tc>
          <w:tcPr>
            <w:tcW w:w="4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 backed, asset backed, and other collateralized</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obligations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AAA</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48,497,273</w:t>
            </w: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50,779,398</w:t>
            </w:r>
          </w:p>
        </w:tc>
        <w:tc>
          <w:tcPr>
            <w:tcW w:w="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AA</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64,099,218</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64,073,127</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23,939,749</w:t>
            </w: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22,403,831</w:t>
            </w:r>
          </w:p>
        </w:tc>
        <w:tc>
          <w:tcPr>
            <w:tcW w:w="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CCC</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398,800</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422,903</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 rated</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307,055</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312,167</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169"/>
        </w:trPr>
        <w:tc>
          <w:tcPr>
            <w:tcW w:w="4860" w:type="dxa"/>
            <w:vAlign w:val="bottom"/>
          </w:tcPr>
          <w:p>
            <w:pPr>
              <w:ind w:left="360"/>
              <w:spacing w:after="0" w:line="169" w:lineRule="exact"/>
              <w:rPr>
                <w:sz w:val="20"/>
                <w:szCs w:val="20"/>
                <w:color w:val="auto"/>
              </w:rPr>
            </w:pPr>
            <w:r>
              <w:rPr>
                <w:rFonts w:ascii="Times New Roman" w:cs="Times New Roman" w:eastAsia="Times New Roman" w:hAnsi="Times New Roman"/>
                <w:sz w:val="16"/>
                <w:szCs w:val="16"/>
                <w:color w:val="auto"/>
              </w:rPr>
              <w:t>Total residential mortgage backed, asset backed, and other</w:t>
            </w:r>
          </w:p>
        </w:tc>
        <w:tc>
          <w:tcPr>
            <w:tcW w:w="2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137,242,095</w:t>
            </w:r>
          </w:p>
        </w:tc>
        <w:tc>
          <w:tcPr>
            <w:tcW w:w="80" w:type="dxa"/>
            <w:vAlign w:val="bottom"/>
          </w:tcPr>
          <w:p>
            <w:pPr>
              <w:spacing w:after="0"/>
              <w:rPr>
                <w:sz w:val="14"/>
                <w:szCs w:val="14"/>
                <w:color w:val="auto"/>
              </w:rPr>
            </w:pPr>
          </w:p>
        </w:tc>
        <w:tc>
          <w:tcPr>
            <w:tcW w:w="1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137,991,426</w:t>
            </w:r>
          </w:p>
        </w:tc>
        <w:tc>
          <w:tcPr>
            <w:tcW w:w="80" w:type="dxa"/>
            <w:vAlign w:val="bottom"/>
          </w:tcPr>
          <w:p>
            <w:pPr>
              <w:spacing w:after="0"/>
              <w:rPr>
                <w:sz w:val="14"/>
                <w:szCs w:val="14"/>
                <w:color w:val="auto"/>
              </w:rPr>
            </w:pPr>
          </w:p>
        </w:tc>
        <w:tc>
          <w:tcPr>
            <w:tcW w:w="1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collateralized obligations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8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293,800,426</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289,037,190</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31"/>
        </w:trPr>
        <w:tc>
          <w:tcPr>
            <w:tcW w:w="4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table below summarizes the average yield by type of fixed-maturity security as of March 31, 2026 and December 31, 2025:</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6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16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6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3"/>
        </w:trPr>
        <w:tc>
          <w:tcPr>
            <w:tcW w:w="7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7"/>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securities and obligations of U.S. government corporations and agencies</w:t>
            </w:r>
          </w:p>
        </w:tc>
        <w:tc>
          <w:tcPr>
            <w:tcW w:w="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r>
      <w:tr>
        <w:trPr>
          <w:trHeight w:val="270"/>
        </w:trPr>
        <w:tc>
          <w:tcPr>
            <w:tcW w:w="7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23"/>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Political subdivisions of States, Territories and Possessions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r>
      <w:tr>
        <w:trPr>
          <w:trHeight w:val="270"/>
        </w:trPr>
        <w:tc>
          <w:tcPr>
            <w:tcW w:w="7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23"/>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 bonds Industrial and miscellaneous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r>
      <w:tr>
        <w:trPr>
          <w:trHeight w:val="270"/>
        </w:trPr>
        <w:tc>
          <w:tcPr>
            <w:tcW w:w="7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23"/>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backed securities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r>
      <w:tr>
        <w:trPr>
          <w:trHeight w:val="270"/>
        </w:trPr>
        <w:tc>
          <w:tcPr>
            <w:tcW w:w="7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10"/>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r>
      <w:tr>
        <w:trPr>
          <w:trHeight w:val="33"/>
        </w:trPr>
        <w:tc>
          <w:tcPr>
            <w:tcW w:w="7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table below lists the weighted average maturity and effective duration in years on our fixed-maturity securities as of March 31, 2026 and December 31, 2025:</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930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8"/>
        </w:trPr>
        <w:tc>
          <w:tcPr>
            <w:tcW w:w="80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effective maturity</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270"/>
        </w:trPr>
        <w:tc>
          <w:tcPr>
            <w:tcW w:w="8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23"/>
        </w:trPr>
        <w:tc>
          <w:tcPr>
            <w:tcW w:w="93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final maturity</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14.6</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70"/>
        </w:trPr>
        <w:tc>
          <w:tcPr>
            <w:tcW w:w="8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10"/>
        </w:trPr>
        <w:tc>
          <w:tcPr>
            <w:tcW w:w="9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duration</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33"/>
        </w:trPr>
        <w:tc>
          <w:tcPr>
            <w:tcW w:w="8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Consideration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Fair value is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March 31, 2026 and December 31, 2025, 48% and 47%, respectively, of the investment portfolio recorded at fair value was priced based upon quoted market prices.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i w:val="1"/>
          <w:iCs w:val="1"/>
          <w:color w:val="auto"/>
        </w:rPr>
        <w:t>Cash Flows</w:t>
      </w:r>
    </w:p>
    <w:p>
      <w:pPr>
        <w:spacing w:after="0" w:line="23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1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The primary source of cash flow for the Holding Company are dividends and distributions received from KICO, which are subject to statutory restrictions. For the three months ended March 31, 2026, KICO paid dividends of $1,800,000 to the Holding Company. As of March 31, 2026, the maximum dividends that KICO can pay to us is restricted to the lesser of 10% of statutory surplus as shown by its last statement on file with the DFS, or 100% of net investment income for the preceding 36 months, reduced by dividends paid during such period. As of March 31, 2026, KICO does not have dividend paying capacity. KICO may not pay any dividends to the Holding Company without DFS approval until there is dividend paying capacity. In three months ended March 31, 2026, the Holding Company funded KAIC with an initial investment of $5,100,000. We do not expect to receive any dividends from KAIC within the next year.</w:t>
      </w:r>
    </w:p>
    <w:p>
      <w:pPr>
        <w:spacing w:after="0" w:line="19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KICO is a member of the FHLBNY, which provides additional access to liquidity. Members have access to a variety of flexible, low-cost funding through FHLBNY’s credit products, enabling members to customize advances. Advances are to be fully collateralized; eligible collateral to pledge to FHLBNY includes residential and commercial mortgage-backed securities, along with U.S. Treasury and agency securities. See Note 3 – Investments to our condensed consolidated financial statements for eligible collateral held in a designated custodian account available for future advances. Advances are limited to 5% of KICO’s net admitted assets as of the end of the previous quarter, which is December 31, 2025. On July 6, 2023, A.M. Best withdrew KICO’s ratings as KICO requested to no longer participate in A.M. Best’s interactive rating process. As a result of the withdrawal of A.M. Best ratings, prior to April 15, 2025, KICO was only able to borrow on an overnight basis. Effective April 15, 2025, based on KICO's credit rating from FHLBNY, KICO can now borrow for a term of up to five years. The maximum allowable advance as of March 31, 2026, based on the net admitted assets as of December 31, 2025, was approximately $17,879,000. Available collateral as of March 31, 2026 was approximately $9,313,000. Effective April 15, 2025, advances are limited to 91% of the amount of available collateral. Prior to April 15, 2025, advances were limited to 85% of the amount of available collateral. There were no borrowings under this facility during the Three Months of 2026 or Three Months of 2025.</w:t>
      </w:r>
    </w:p>
    <w:p>
      <w:pPr>
        <w:spacing w:after="0" w:line="19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On April 5, 2024, we filed a shelf registration (the “Shelf Registration”) statement on Form S-3 with the SEC under the Securities Act of 1933, as amended, with regard to the registration of $50,000,000 of our equity and debt securities (the “Shelf Registration Statement”). The Shelf Registration Statement was declared effective by the SEC on April 22, 2024. Any offering made pursuant to the Shelf Registration Statement may only be made by means of a prospectus, including a prospectus supplement, forming a part of the effective Shelf Registration Statement, relating to the offering.</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 May 2024, we entered into a Sales Agreement with Janney Montgomery Scott LLC (the “Sales Agent”) under which we initially had the ability to issue and sell shares of our Common Stock, from time to time, through the Sales Agent, pursuant to the Shelf Registration Statement, up to an aggregate offering price of approximately $16,400,000 in what is commonly referred to as an “at-the-market” (“ATM”) program. On January 7, 2025, we filed a prospectus supplement providing for a going forward aggregate offering price for the ATM program of $25,000,000. During the three months ended March 31, 2026, we did not sell any shares of our Common Stock under the ATM program. As of March 31, 2026, we had remaining capacity to sell up to an additional $15,945,937 of our Common Stock under the ATM program.</w:t>
      </w:r>
    </w:p>
    <w:p>
      <w:pPr>
        <w:spacing w:after="0" w:line="180"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If the aforementioned sources of cash flow currently available are insufficient to cover our Holding Company cash requirements, we will seek to obtain additional financing.</w:t>
      </w:r>
    </w:p>
    <w:p>
      <w:pPr>
        <w:spacing w:after="0" w:line="178"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Cash flow and liquidity are categorized into three sources: (1) operating activities; (2) investing activities; and (3) financing activities, which are shown in the following table: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Three Months ended March 31,</w:t>
            </w: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3"/>
        </w:trPr>
        <w:tc>
          <w:tcPr>
            <w:tcW w:w="8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46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flows provided by (used in):</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Operating activities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8,714,486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17,857,307</w:t>
            </w:r>
          </w:p>
        </w:tc>
      </w:tr>
      <w:tr>
        <w:trPr>
          <w:trHeight w:val="210"/>
        </w:trPr>
        <w:tc>
          <w:tcPr>
            <w:tcW w:w="81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Investing activities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(8,203,453)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(11,844,067)</w:t>
            </w:r>
          </w:p>
        </w:tc>
      </w:tr>
      <w:tr>
        <w:trPr>
          <w:trHeight w:val="3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(1,334,372)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2,807,501</w:t>
            </w:r>
          </w:p>
        </w:tc>
      </w:tr>
      <w:tr>
        <w:trPr>
          <w:trHeight w:val="204"/>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increase in cash and cash equivalents</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(823,339)</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8,820,741</w:t>
            </w:r>
          </w:p>
        </w:tc>
      </w:tr>
      <w:tr>
        <w:trPr>
          <w:trHeight w:val="3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12,178,730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28,669,441</w:t>
            </w:r>
          </w:p>
        </w:tc>
      </w:tr>
      <w:tr>
        <w:trPr>
          <w:trHeight w:val="204"/>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11,355,391</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37,490,182</w:t>
            </w:r>
          </w:p>
        </w:tc>
      </w:tr>
      <w:tr>
        <w:trPr>
          <w:trHeight w:val="33"/>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Net cash provided by operating activities was $8,714,000 in the Three Months of 2026 as compared to $17,857,000 provided by operating activities in the Three Months of 2025. The $9,143,000 decrease in cash flows provided by operating activities in the Three Months of 2026 as compared to the Three Months of 2025 was primarily the result of a decrease in net income (adjusted for non-cash items) of $8,165,000 and cash provided from net fluctuations in operating assets and liabilities. The net fluctuations in assets and liabilities are related to operating activities of KICO as affected by growth or declines in its operations, payments on claims and other changes, which are described above.</w:t>
      </w:r>
    </w:p>
    <w:p>
      <w:pPr>
        <w:spacing w:after="0" w:line="18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Net cash used in investing activities was $8,203,000 in the Three Months of 2026 compared to $11,844,000 used in investing activities in the Three Months of 2025 resulting in a $3,641,000 decrease in net cash used in investing activities. In the Three Months of 2026, we had net cash used by our investment portfolio of $7,368,000, compared to $14,581,000 used in the Three Months of 2025. In the Three Months of 2025 one of our subsidiaries received gross proceeds of $3,600,000 from the sale of real estate that was used as our headquarters building.</w:t>
      </w:r>
    </w:p>
    <w:p>
      <w:pPr>
        <w:spacing w:after="0" w:line="19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Net cash used by financing activities was $1,334,000 in the Three Months of 2026 compared to $2,808,000 provided by financing activities in the Three Months of 2025 resulting in a $4,142,000 increase in net cash used in financing activities. In the Three Months of 2026, we received no proceeds from our ATM offering, compared to $9,546,000 in the Three Months of 2025. In the Three Months of 2025, we satisfied our debt under the 2024 Notes by making principal payments of $5,950,000, with none paid in the Three Months of 2026. In the Three Months of 2026, shareholder dividends were $722,000, compared to none in the Three Months of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Reinsurance</w:t>
      </w:r>
    </w:p>
    <w:p>
      <w:pPr>
        <w:spacing w:after="0" w:line="237" w:lineRule="exact"/>
        <w:rPr>
          <w:sz w:val="20"/>
          <w:szCs w:val="20"/>
          <w:color w:val="auto"/>
        </w:rPr>
      </w:pPr>
    </w:p>
    <w:p>
      <w:pPr>
        <w:jc w:val="both"/>
        <w:ind w:firstLine="607"/>
        <w:spacing w:after="0" w:line="263" w:lineRule="auto"/>
        <w:rPr>
          <w:sz w:val="20"/>
          <w:szCs w:val="20"/>
          <w:color w:val="auto"/>
        </w:rPr>
      </w:pPr>
      <w:r>
        <w:rPr>
          <w:rFonts w:ascii="Times New Roman" w:cs="Times New Roman" w:eastAsia="Times New Roman" w:hAnsi="Times New Roman"/>
          <w:sz w:val="16"/>
          <w:szCs w:val="16"/>
          <w:color w:val="auto"/>
        </w:rPr>
        <w:t>On January 1, 2025, we entered into a 16% quota share reinsurance treaty for our personal lines business, which primarily consisted of homeowners’ and dwelling fire policies, covering the period from January 1, 2025 through January 1, 2026 (“2025/2026 Treaty”). Upon the expiration of the 2025/2026 Treaty on January 1, 2026, we entered into a new 5% quota share reinsurance treaty for our personal lines business written in all states except California (for which the Company entered into a new 30% quota share reinsurance treaty), covering the period from January 1, 2026 through January 1, 2027 (“2026/2027 Treaty”).</w:t>
      </w:r>
    </w:p>
    <w:p>
      <w:pPr>
        <w:spacing w:after="0" w:line="152" w:lineRule="exact"/>
        <w:rPr>
          <w:sz w:val="20"/>
          <w:szCs w:val="20"/>
          <w:color w:val="auto"/>
        </w:rPr>
      </w:pPr>
    </w:p>
    <w:p>
      <w:pPr>
        <w:jc w:val="both"/>
        <w:ind w:firstLine="167"/>
        <w:spacing w:after="0" w:line="260" w:lineRule="auto"/>
        <w:rPr>
          <w:sz w:val="20"/>
          <w:szCs w:val="20"/>
          <w:color w:val="auto"/>
        </w:rPr>
      </w:pPr>
      <w:r>
        <w:rPr>
          <w:rFonts w:ascii="Times New Roman" w:cs="Times New Roman" w:eastAsia="Times New Roman" w:hAnsi="Times New Roman"/>
          <w:sz w:val="16"/>
          <w:szCs w:val="16"/>
          <w:color w:val="auto"/>
        </w:rPr>
        <w:t>Our excess of loss and catastrophe reinsurance treaties expired on June 30, 2025 and we entered into new excess of loss and catastrophe reinsurance treaties effective July 1, 2025 (as discussed below).The new catastrophe reinsurance treaties includes the issuance of a $125,000,000 catastrophe bond ("Series 2025-1 Notes"). The Series 2025-1 Notes were priced at 4.5% and issued through a Bermuda-registered special purpose insurer, 1886 Re Ltd., providing us with $125,000,000 of collateralized reinsurance protection. The Series 2025-1 Notes offer multi-year protection against named storm events across New York, New Jersey, Connecticut, Massachusetts and Rhode Island on an indemnity trigger and per-occurrence basis. The Series 2025-1 Notes, which were structured and placed by Aon Securities LLC, will cover four annual risk periods from July 1, 2025 through June 30, 2029.</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Effective January 1, 2025, we renewed an underlying excess of loss treaty ("Underlying XOL Treaty") covering the period from January 1, 2025 through June 30, 2025. The treaty provided 50% reinsurance coverage for losses of $400,000 in excess of $600,000. Losses from named storms were excluded from the treaty. Effective July 1, 2025, the Underlying XOL Treaty was renewed along with our excess of loss reinsurance treaty covering the period from July 1, 2025 through June 30, 2026. Combined, the renewed treaties provide 50% reinsurance coverage for losses of $250,000 in excess of $750,000, and 100% reinsurance coverage for losses in excess of $1,000,000 up to $9,000,000 together with facultative coverage. For the period October 1, 2024 through April 30, 2025, we purchased catastrophe reinsurance which provides coverage for winter storm losses to the extent of 71% of $4,500,000 in excess of $5,500,000. For the period October 15, 2025 through April 30, 2026, we purchased catastrophe reinsurance which provides coverage for winter storm losses to the extent of 90% of $5,000,000 in excess of $5,000,000. Effective July 1, 2025, we purchased $435,000,000 of catastrophe reinsurance in excess of $5,000,000, compared to $275,000,000 of catastrophe reinsurance in excess of $5,000,000 in the expiring treaty. Material terms for our reinsurance treaties in effect for the treaty years shown below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60" w:type="dxa"/>
            <w:vAlign w:val="bottom"/>
            <w:gridSpan w:val="5"/>
          </w:tcPr>
          <w:p>
            <w:pPr>
              <w:ind w:left="840"/>
              <w:spacing w:after="0"/>
              <w:rPr>
                <w:sz w:val="20"/>
                <w:szCs w:val="20"/>
                <w:color w:val="auto"/>
              </w:rPr>
            </w:pPr>
            <w:r>
              <w:rPr>
                <w:rFonts w:ascii="Times New Roman" w:cs="Times New Roman" w:eastAsia="Times New Roman" w:hAnsi="Times New Roman"/>
                <w:sz w:val="16"/>
                <w:szCs w:val="16"/>
                <w:b w:val="1"/>
                <w:bCs w:val="1"/>
                <w:color w:val="auto"/>
              </w:rPr>
              <w:t>Treaty Period</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gridSpan w:val="5"/>
          </w:tcPr>
          <w:p>
            <w:pPr>
              <w:ind w:left="720"/>
              <w:spacing w:after="0"/>
              <w:rPr>
                <w:sz w:val="20"/>
                <w:szCs w:val="20"/>
                <w:color w:val="auto"/>
              </w:rPr>
            </w:pPr>
            <w:r>
              <w:rPr>
                <w:rFonts w:ascii="Times New Roman" w:cs="Times New Roman" w:eastAsia="Times New Roman" w:hAnsi="Times New Roman"/>
                <w:sz w:val="16"/>
                <w:szCs w:val="16"/>
                <w:b w:val="1"/>
                <w:bCs w:val="1"/>
                <w:color w:val="auto"/>
              </w:rPr>
              <w:t>2026/2027 Treaty</w:t>
            </w:r>
          </w:p>
        </w:tc>
        <w:tc>
          <w:tcPr>
            <w:tcW w:w="140" w:type="dxa"/>
            <w:vAlign w:val="bottom"/>
          </w:tcPr>
          <w:p>
            <w:pPr>
              <w:spacing w:after="0"/>
              <w:rPr>
                <w:sz w:val="18"/>
                <w:szCs w:val="18"/>
                <w:color w:val="auto"/>
              </w:rPr>
            </w:pPr>
          </w:p>
        </w:tc>
        <w:tc>
          <w:tcPr>
            <w:tcW w:w="2860" w:type="dxa"/>
            <w:vAlign w:val="bottom"/>
            <w:gridSpan w:val="5"/>
          </w:tcPr>
          <w:p>
            <w:pPr>
              <w:ind w:left="720"/>
              <w:spacing w:after="0"/>
              <w:rPr>
                <w:sz w:val="20"/>
                <w:szCs w:val="20"/>
                <w:color w:val="auto"/>
              </w:rPr>
            </w:pPr>
            <w:r>
              <w:rPr>
                <w:rFonts w:ascii="Times New Roman" w:cs="Times New Roman" w:eastAsia="Times New Roman" w:hAnsi="Times New Roman"/>
                <w:sz w:val="16"/>
                <w:szCs w:val="16"/>
                <w:b w:val="1"/>
                <w:bCs w:val="1"/>
                <w:color w:val="auto"/>
              </w:rPr>
              <w:t>2025/2026 Treaty</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jc w:val="center"/>
              <w:ind w:right="280"/>
              <w:spacing w:after="0" w:line="182" w:lineRule="exact"/>
              <w:rPr>
                <w:sz w:val="20"/>
                <w:szCs w:val="20"/>
                <w:color w:val="auto"/>
              </w:rPr>
            </w:pPr>
            <w:r>
              <w:rPr>
                <w:rFonts w:ascii="Times New Roman" w:cs="Times New Roman" w:eastAsia="Times New Roman" w:hAnsi="Times New Roman"/>
                <w:sz w:val="16"/>
                <w:szCs w:val="16"/>
                <w:b w:val="1"/>
                <w:bCs w:val="1"/>
                <w:color w:val="auto"/>
              </w:rPr>
              <w:t>July 1,</w:t>
            </w: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79"/>
              <w:spacing w:after="0" w:line="182" w:lineRule="exact"/>
              <w:rPr>
                <w:sz w:val="20"/>
                <w:szCs w:val="20"/>
                <w:color w:val="auto"/>
              </w:rPr>
            </w:pPr>
            <w:r>
              <w:rPr>
                <w:rFonts w:ascii="Times New Roman" w:cs="Times New Roman" w:eastAsia="Times New Roman" w:hAnsi="Times New Roman"/>
                <w:sz w:val="16"/>
                <w:szCs w:val="16"/>
                <w:b w:val="1"/>
                <w:bCs w:val="1"/>
                <w:color w:val="auto"/>
              </w:rPr>
              <w:t>January 2,</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jc w:val="center"/>
              <w:ind w:right="260"/>
              <w:spacing w:after="0" w:line="182" w:lineRule="exact"/>
              <w:rPr>
                <w:sz w:val="20"/>
                <w:szCs w:val="20"/>
                <w:color w:val="auto"/>
              </w:rPr>
            </w:pPr>
            <w:r>
              <w:rPr>
                <w:rFonts w:ascii="Times New Roman" w:cs="Times New Roman" w:eastAsia="Times New Roman" w:hAnsi="Times New Roman"/>
                <w:sz w:val="16"/>
                <w:szCs w:val="16"/>
                <w:b w:val="1"/>
                <w:bCs w:val="1"/>
                <w:color w:val="auto"/>
              </w:rPr>
              <w:t>July 1,</w:t>
            </w: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79"/>
              <w:spacing w:after="0" w:line="182" w:lineRule="exact"/>
              <w:rPr>
                <w:sz w:val="20"/>
                <w:szCs w:val="20"/>
                <w:color w:val="auto"/>
              </w:rPr>
            </w:pPr>
            <w:r>
              <w:rPr>
                <w:rFonts w:ascii="Times New Roman" w:cs="Times New Roman" w:eastAsia="Times New Roman" w:hAnsi="Times New Roman"/>
                <w:sz w:val="16"/>
                <w:szCs w:val="16"/>
                <w:b w:val="1"/>
                <w:bCs w:val="1"/>
                <w:color w:val="auto"/>
              </w:rPr>
              <w:t>January 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79"/>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ind w:right="59"/>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ind w:right="99"/>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ind w:right="59"/>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to</w:t>
            </w: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to</w:t>
            </w: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to</w:t>
            </w: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to</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Line of Business</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January 1,</w:t>
            </w: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January 1,</w:t>
            </w: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25"/>
        </w:trPr>
        <w:tc>
          <w:tcPr>
            <w:tcW w:w="20" w:type="dxa"/>
            <w:vAlign w:val="bottom"/>
            <w:tcBorders>
              <w:bottom w:val="single" w:sz="8" w:color="auto"/>
            </w:tcBorders>
          </w:tcPr>
          <w:p>
            <w:pPr>
              <w:spacing w:after="0"/>
              <w:rPr>
                <w:sz w:val="19"/>
                <w:szCs w:val="19"/>
                <w:color w:val="auto"/>
              </w:rPr>
            </w:pPr>
          </w:p>
        </w:tc>
        <w:tc>
          <w:tcPr>
            <w:tcW w:w="5140" w:type="dxa"/>
            <w:vAlign w:val="bottom"/>
            <w:tcBorders>
              <w:bottom w:val="single" w:sz="8" w:color="auto"/>
            </w:tcBorders>
            <w:gridSpan w:val="3"/>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2027</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Personal Lines:</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2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Homeowners, dwelling fire and canine legal liability</w:t>
            </w: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Quota share treaty:</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240" w:type="dxa"/>
            <w:vAlign w:val="bottom"/>
            <w:tcBorders>
              <w:bottom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Percent ceded (6)</w:t>
            </w: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Risk retained on initial</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240" w:type="dxa"/>
            <w:vAlign w:val="bottom"/>
            <w:tcBorders>
              <w:bottom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$1,000,000 of losses (4) (5) (6)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950,000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950,000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840,000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840,000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Losses per occurrence</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240" w:type="dxa"/>
            <w:vAlign w:val="bottom"/>
            <w:tcBorders>
              <w:bottom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subject to quota share</w:t>
            </w: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reinsurance coverage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240" w:type="dxa"/>
            <w:vAlign w:val="bottom"/>
            <w:tcBorders>
              <w:bottom w:val="single" w:sz="8" w:color="CCEEFF"/>
            </w:tcBorders>
            <w:gridSpan w:val="4"/>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Expiration date</w:t>
            </w: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January 1, 2027</w:t>
            </w: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January 1, 2027</w:t>
            </w: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rPr>
              <w:t>January 1, 2026</w:t>
            </w: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January 1, 2026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Excess of loss coverage and</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240" w:type="dxa"/>
            <w:vAlign w:val="bottom"/>
            <w:tcBorders>
              <w:bottom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facultative facility</w:t>
            </w: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coverage (1) (4) (5)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8,250,000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8,250,000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8,400,000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3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 excess of</w:t>
            </w:r>
          </w:p>
        </w:tc>
        <w:tc>
          <w:tcPr>
            <w:tcW w:w="15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 excess of</w:t>
            </w:r>
          </w:p>
        </w:tc>
        <w:tc>
          <w:tcPr>
            <w:tcW w:w="15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 excess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24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reinsurance coverage</w:t>
            </w: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per occurrence (4) (5)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8,175,000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8,285,000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8,360,000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24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Losses per occurrence</w:t>
            </w: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subject to reinsurance</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240" w:type="dxa"/>
            <w:vAlign w:val="bottom"/>
            <w:tcBorders>
              <w:bottom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coverage (5)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1,000,000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9,000,000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9,000,000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9,000,000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Expiration date</w:t>
            </w:r>
          </w:p>
        </w:tc>
        <w:tc>
          <w:tcPr>
            <w:tcW w:w="14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June 30, 2026</w:t>
            </w:r>
          </w:p>
        </w:tc>
        <w:tc>
          <w:tcPr>
            <w:tcW w:w="14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June 30, 2026</w:t>
            </w:r>
          </w:p>
        </w:tc>
        <w:tc>
          <w:tcPr>
            <w:tcW w:w="14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June 30, 2025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3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4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Catastrophe Reinsurance:</w:t>
            </w: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3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24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Initial loss subject to personal</w:t>
            </w: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lines quota share treaty (5)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24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Risk retained per catastrophe</w:t>
            </w: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occurrence (5) (6) (7) (8)</w:t>
            </w:r>
          </w:p>
        </w:tc>
        <w:tc>
          <w:tcPr>
            <w:tcW w:w="14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5,500,000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5,000,000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24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Catastrophe loss coverage</w:t>
            </w: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in excess of quota share</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240" w:type="dxa"/>
            <w:vAlign w:val="bottom"/>
            <w:tcBorders>
              <w:bottom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coverage (2) (5) (8)</w:t>
            </w: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434,500,000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435,000,000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275,000,000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524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Reinstatement premium</w:t>
            </w: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gridSpan w:val="4"/>
          </w:tcPr>
          <w:p>
            <w:pPr>
              <w:ind w:left="300"/>
              <w:spacing w:after="0"/>
              <w:rPr>
                <w:sz w:val="20"/>
                <w:szCs w:val="20"/>
                <w:color w:val="auto"/>
              </w:rPr>
            </w:pPr>
            <w:r>
              <w:rPr>
                <w:rFonts w:ascii="Times New Roman" w:cs="Times New Roman" w:eastAsia="Times New Roman" w:hAnsi="Times New Roman"/>
                <w:sz w:val="16"/>
                <w:szCs w:val="16"/>
                <w:color w:val="auto"/>
              </w:rPr>
              <w:t>protection (3)</w:t>
            </w:r>
          </w:p>
        </w:tc>
        <w:tc>
          <w:tcPr>
            <w:tcW w:w="14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6"/>
              </w:rPr>
              <w:t>Yes</w:t>
            </w: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6"/>
              </w:rPr>
              <w:t>Yes</w:t>
            </w:r>
          </w:p>
        </w:tc>
        <w:tc>
          <w:tcPr>
            <w:tcW w:w="140" w:type="dxa"/>
            <w:vAlign w:val="bottom"/>
          </w:tcPr>
          <w:p>
            <w:pPr>
              <w:spacing w:after="0"/>
              <w:rPr>
                <w:sz w:val="18"/>
                <w:szCs w:val="18"/>
                <w:color w:val="auto"/>
              </w:rPr>
            </w:pPr>
          </w:p>
        </w:tc>
        <w:tc>
          <w:tcPr>
            <w:tcW w:w="126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Yes</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900" w:hanging="892"/>
        <w:spacing w:after="0" w:line="280" w:lineRule="auto"/>
        <w:tabs>
          <w:tab w:leader="none" w:pos="9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personal lines, includes the addition of an automatic facultative facility allowing KICO to obtain homeowners single risk coverage up to $9,000,000 in total insured value, which covers direct losses from $3,500,000 to $9,000,000 through June 30, 2026.</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900" w:hanging="892"/>
        <w:spacing w:after="0" w:line="263" w:lineRule="auto"/>
        <w:tabs>
          <w:tab w:leader="none" w:pos="9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Catastrophe coverage is limited on an annual basis to two times the per occurrence amounts, except for one occurrence on 80% of the first layer of $5,000,000 in excess of $5,000,000, and one occurrence on 52% of the top layer of $240,000,000 in excess of $200,000,000, which is covered under the catastrophe bond. Duration of 168 consecutive hours for a catastrophe occurrence from windstorm, hail, tornado, hurricane and cyclone, except for winter storm coverage, which is covered under a specific declared catastrophe event.</w:t>
      </w:r>
    </w:p>
    <w:p>
      <w:pPr>
        <w:spacing w:after="0" w:line="192" w:lineRule="exact"/>
        <w:rPr>
          <w:rFonts w:ascii="Times New Roman" w:cs="Times New Roman" w:eastAsia="Times New Roman" w:hAnsi="Times New Roman"/>
          <w:sz w:val="16"/>
          <w:szCs w:val="16"/>
          <w:color w:val="auto"/>
        </w:rPr>
      </w:pPr>
    </w:p>
    <w:p>
      <w:pPr>
        <w:jc w:val="both"/>
        <w:ind w:left="900" w:hanging="892"/>
        <w:spacing w:after="0" w:line="263" w:lineRule="auto"/>
        <w:tabs>
          <w:tab w:leader="none" w:pos="9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period July 1, 2024 through June 30, 2025 (expiration date of the catastrophe reinsurance treaty), reinstatement premium protection for $50,000,000 of catastrophe coverage in excess of $10,000,000. For the period July 1, 2025 through June 30, 2026 (expiration date of the catastrophe reinsurance treaty), reinstatement premium protection for $50,000,000 of catastrophe coverage in excess of $10,000,000.</w:t>
      </w:r>
    </w:p>
    <w:p>
      <w:pPr>
        <w:spacing w:after="0" w:line="245" w:lineRule="exact"/>
        <w:rPr>
          <w:rFonts w:ascii="Times New Roman" w:cs="Times New Roman" w:eastAsia="Times New Roman" w:hAnsi="Times New Roman"/>
          <w:sz w:val="16"/>
          <w:szCs w:val="16"/>
          <w:color w:val="auto"/>
        </w:rPr>
      </w:pPr>
    </w:p>
    <w:p>
      <w:pPr>
        <w:jc w:val="both"/>
        <w:ind w:left="900" w:hanging="892"/>
        <w:spacing w:after="0" w:line="249" w:lineRule="auto"/>
        <w:tabs>
          <w:tab w:leader="none" w:pos="9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period January 1, 2024 through June 30, 2025, the Underlying XOL Treaty provides 50% reinsurance coverage for losses of $400,000 in excess of $600,000. Excludes losses from named storms. Reduces retention to $530,000 from $730,000 under the quota share treaty that expired on January 1, 2025. Retention increases to $640,000 from $530,000 under the 2025/2026 Treaty. For the period July 1, 2025 through June 30, 2026, the Underlying XOL Treaty combined with the excess of loss treaty provide 50% reinsurance coverage for losses of $250,000 in excess of $750,000, and 100% reinsurance coverage for losses in excess of $1,000,000 up to $9,000,000 together with facultative coverage. Increased retention to $715,000 from $640,000 under the 2025/2026 Treaty, and increased retention to $825,000 under the 2026/2027 Treaty (see note 5 below).</w:t>
      </w:r>
    </w:p>
    <w:p>
      <w:pPr>
        <w:spacing w:after="0" w:line="258" w:lineRule="exact"/>
        <w:rPr>
          <w:rFonts w:ascii="Times New Roman" w:cs="Times New Roman" w:eastAsia="Times New Roman" w:hAnsi="Times New Roman"/>
          <w:sz w:val="16"/>
          <w:szCs w:val="16"/>
          <w:color w:val="auto"/>
        </w:rPr>
      </w:pPr>
    </w:p>
    <w:p>
      <w:pPr>
        <w:jc w:val="both"/>
        <w:ind w:left="900" w:hanging="892"/>
        <w:spacing w:after="0" w:line="258" w:lineRule="auto"/>
        <w:tabs>
          <w:tab w:leader="none" w:pos="9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Excess of loss coverage and facultative facility and catastrophe reinsurance treaties will expire on June 30, 2026, with none of these coverages to be in effect during the period from July 1 2026 through January 1, 2027. If and when these treaties are renewed on July 1, 2026, the excess of loss and facultative facility, underlying excess of loss treaty, and the catastrophe reinsurance treaty, will be as provided for therein. Reinsurance coverage in effect from July 1, 2026 through January 1, 2027 is currently only covered under the 2026/2027 Treaty. The 2026/2027 Treaty will expire on January 1, 2027.</w:t>
      </w:r>
    </w:p>
    <w:p>
      <w:pPr>
        <w:spacing w:after="0" w:line="248" w:lineRule="exact"/>
        <w:rPr>
          <w:rFonts w:ascii="Times New Roman" w:cs="Times New Roman" w:eastAsia="Times New Roman" w:hAnsi="Times New Roman"/>
          <w:sz w:val="16"/>
          <w:szCs w:val="16"/>
          <w:color w:val="auto"/>
        </w:rPr>
      </w:pPr>
    </w:p>
    <w:p>
      <w:pPr>
        <w:ind w:left="900" w:right="20" w:hanging="892"/>
        <w:spacing w:after="0" w:line="263" w:lineRule="auto"/>
        <w:tabs>
          <w:tab w:leader="none" w:pos="9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2025/2026 Treaty, 6% of the 16% total of losses ceded under this treaty were excluded from a named catastrophe event. For the 2026/2027 Treaty, there is no exclusion for catastrophe events.</w:t>
      </w:r>
    </w:p>
    <w:p>
      <w:pPr>
        <w:spacing w:after="0" w:line="258" w:lineRule="exact"/>
        <w:rPr>
          <w:rFonts w:ascii="Times New Roman" w:cs="Times New Roman" w:eastAsia="Times New Roman" w:hAnsi="Times New Roman"/>
          <w:sz w:val="16"/>
          <w:szCs w:val="16"/>
          <w:color w:val="auto"/>
        </w:rPr>
      </w:pPr>
    </w:p>
    <w:p>
      <w:pPr>
        <w:ind w:left="900" w:hanging="892"/>
        <w:spacing w:after="0"/>
        <w:tabs>
          <w:tab w:leader="none" w:pos="9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Plus losses in excess of catastrophe coverage.</w:t>
      </w:r>
    </w:p>
    <w:p>
      <w:pPr>
        <w:spacing w:after="0" w:line="288" w:lineRule="exact"/>
        <w:rPr>
          <w:rFonts w:ascii="Times New Roman" w:cs="Times New Roman" w:eastAsia="Times New Roman" w:hAnsi="Times New Roman"/>
          <w:sz w:val="16"/>
          <w:szCs w:val="16"/>
          <w:color w:val="auto"/>
        </w:rPr>
      </w:pPr>
    </w:p>
    <w:p>
      <w:pPr>
        <w:jc w:val="both"/>
        <w:ind w:left="900" w:hanging="892"/>
        <w:spacing w:after="0" w:line="249" w:lineRule="auto"/>
        <w:tabs>
          <w:tab w:leader="none" w:pos="9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July 1, 2025 through June 30, 2026, catastrophe coverage is 80% of the first layer of $5,000,000 in excess of $5,000,000. The remaining coverage is at 100% of $430,000,000 in excess of $10,000,000. For the period October 1, 2024 through April 30, 2025, additional catastrophe reinsurance treaty provided coverage for winter storm losses to the extent of 71% of $4,500,000 in excess of $5,500,000. For the period October 15, 2025 through April 30, 2026, additional catastrophe reinsurance treaty will provide coverage for winter storm losses to the extent of 90% of $5,000,000 in excess of $5,000,000. Retention for winter storms is $5,200,000 under the 2025/2026 Treaty from January 1, 2025 through April 30, 2025, $3,900,000 from October 15, 2025 through January 1, 2026, the expiration date of the 2025/2026 Treaty, and $5,000,000 under the 2026/2027 Treaty through April 30, 2026.</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6" w:name="page67"/>
    <w:bookmarkEnd w:id="66"/>
    <w:p>
      <w:pPr>
        <w:ind w:left="100"/>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00" w:type="dxa"/>
            <w:vAlign w:val="bottom"/>
            <w:gridSpan w:val="4"/>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rPr>
              <w:t>Treaty Year</w:t>
            </w:r>
          </w:p>
        </w:tc>
        <w:tc>
          <w:tcPr>
            <w:tcW w:w="0" w:type="dxa"/>
            <w:vAlign w:val="bottom"/>
          </w:tcPr>
          <w:p>
            <w:pPr>
              <w:spacing w:after="0"/>
              <w:rPr>
                <w:sz w:val="1"/>
                <w:szCs w:val="1"/>
                <w:color w:val="auto"/>
              </w:rPr>
            </w:pPr>
          </w:p>
        </w:tc>
      </w:tr>
      <w:tr>
        <w:trPr>
          <w:trHeight w:val="33"/>
        </w:trPr>
        <w:tc>
          <w:tcPr>
            <w:tcW w:w="800" w:type="dxa"/>
            <w:vAlign w:val="bottom"/>
          </w:tcPr>
          <w:p>
            <w:pPr>
              <w:spacing w:after="0"/>
              <w:rPr>
                <w:sz w:val="2"/>
                <w:szCs w:val="2"/>
                <w:color w:val="auto"/>
              </w:rPr>
            </w:pPr>
          </w:p>
        </w:tc>
        <w:tc>
          <w:tcPr>
            <w:tcW w:w="6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300"/>
              <w:spacing w:after="0" w:line="181" w:lineRule="exact"/>
              <w:rPr>
                <w:sz w:val="20"/>
                <w:szCs w:val="20"/>
                <w:color w:val="auto"/>
              </w:rPr>
            </w:pPr>
            <w:r>
              <w:rPr>
                <w:rFonts w:ascii="Times New Roman" w:cs="Times New Roman" w:eastAsia="Times New Roman" w:hAnsi="Times New Roman"/>
                <w:sz w:val="16"/>
                <w:szCs w:val="16"/>
                <w:b w:val="1"/>
                <w:bCs w:val="1"/>
                <w:color w:val="auto"/>
              </w:rPr>
              <w:t>July 1, 2025</w:t>
            </w:r>
          </w:p>
        </w:tc>
        <w:tc>
          <w:tcPr>
            <w:tcW w:w="180" w:type="dxa"/>
            <w:vAlign w:val="bottom"/>
          </w:tcPr>
          <w:p>
            <w:pPr>
              <w:spacing w:after="0"/>
              <w:rPr>
                <w:sz w:val="15"/>
                <w:szCs w:val="15"/>
                <w:color w:val="auto"/>
              </w:rPr>
            </w:pPr>
          </w:p>
        </w:tc>
        <w:tc>
          <w:tcPr>
            <w:tcW w:w="1320" w:type="dxa"/>
            <w:vAlign w:val="bottom"/>
          </w:tcPr>
          <w:p>
            <w:pPr>
              <w:jc w:val="center"/>
              <w:ind w:right="99"/>
              <w:spacing w:after="0" w:line="181" w:lineRule="exact"/>
              <w:rPr>
                <w:sz w:val="20"/>
                <w:szCs w:val="20"/>
                <w:color w:val="auto"/>
              </w:rPr>
            </w:pPr>
            <w:r>
              <w:rPr>
                <w:rFonts w:ascii="Times New Roman" w:cs="Times New Roman" w:eastAsia="Times New Roman" w:hAnsi="Times New Roman"/>
                <w:sz w:val="16"/>
                <w:szCs w:val="16"/>
                <w:b w:val="1"/>
                <w:bCs w:val="1"/>
                <w:color w:val="auto"/>
              </w:rPr>
              <w:t>July 1, 2024</w:t>
            </w:r>
          </w:p>
        </w:tc>
        <w:tc>
          <w:tcPr>
            <w:tcW w:w="0" w:type="dxa"/>
            <w:vAlign w:val="bottom"/>
          </w:tcPr>
          <w:p>
            <w:pPr>
              <w:spacing w:after="0"/>
              <w:rPr>
                <w:sz w:val="1"/>
                <w:szCs w:val="1"/>
                <w:color w:val="auto"/>
              </w:rPr>
            </w:pPr>
          </w:p>
        </w:tc>
      </w:tr>
      <w:tr>
        <w:trPr>
          <w:trHeight w:val="189"/>
        </w:trPr>
        <w:tc>
          <w:tcPr>
            <w:tcW w:w="72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 of Business</w:t>
            </w:r>
          </w:p>
        </w:tc>
        <w:tc>
          <w:tcPr>
            <w:tcW w:w="40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to</w:t>
            </w:r>
          </w:p>
        </w:tc>
        <w:tc>
          <w:tcPr>
            <w:tcW w:w="180" w:type="dxa"/>
            <w:vAlign w:val="bottom"/>
          </w:tcPr>
          <w:p>
            <w:pPr>
              <w:spacing w:after="0"/>
              <w:rPr>
                <w:sz w:val="16"/>
                <w:szCs w:val="16"/>
                <w:color w:val="auto"/>
              </w:rPr>
            </w:pPr>
          </w:p>
        </w:tc>
        <w:tc>
          <w:tcPr>
            <w:tcW w:w="13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to</w:t>
            </w:r>
          </w:p>
        </w:tc>
        <w:tc>
          <w:tcPr>
            <w:tcW w:w="0" w:type="dxa"/>
            <w:vAlign w:val="bottom"/>
          </w:tcPr>
          <w:p>
            <w:pPr>
              <w:spacing w:after="0"/>
              <w:rPr>
                <w:sz w:val="1"/>
                <w:szCs w:val="1"/>
                <w:color w:val="auto"/>
              </w:rPr>
            </w:pPr>
          </w:p>
        </w:tc>
      </w:tr>
      <w:tr>
        <w:trPr>
          <w:trHeight w:val="225"/>
        </w:trPr>
        <w:tc>
          <w:tcPr>
            <w:tcW w:w="7280" w:type="dxa"/>
            <w:vAlign w:val="bottom"/>
            <w:tcBorders>
              <w:bottom w:val="single" w:sz="8" w:color="auto"/>
            </w:tcBorders>
            <w:gridSpan w:val="2"/>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June 30, 2026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0" w:type="dxa"/>
            <w:vAlign w:val="bottom"/>
          </w:tcPr>
          <w:p>
            <w:pPr>
              <w:spacing w:after="0"/>
              <w:rPr>
                <w:sz w:val="1"/>
                <w:szCs w:val="1"/>
                <w:color w:val="auto"/>
              </w:rPr>
            </w:pPr>
          </w:p>
        </w:tc>
      </w:tr>
      <w:tr>
        <w:trPr>
          <w:trHeight w:val="432"/>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sonal Lines: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68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76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sonal Umbrella</w:t>
            </w: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Quota share treaty:</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800" w:type="dxa"/>
            <w:vAlign w:val="bottom"/>
          </w:tcPr>
          <w:p>
            <w:pPr>
              <w:spacing w:after="0"/>
              <w:rPr>
                <w:sz w:val="2"/>
                <w:szCs w:val="2"/>
                <w:color w:val="auto"/>
              </w:rPr>
            </w:pPr>
          </w:p>
        </w:tc>
        <w:tc>
          <w:tcPr>
            <w:tcW w:w="6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8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Percent ceded - first $1,000,000 of coverage</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0" w:type="dxa"/>
            <w:vAlign w:val="bottom"/>
          </w:tcPr>
          <w:p>
            <w:pPr>
              <w:spacing w:after="0"/>
              <w:rPr>
                <w:sz w:val="1"/>
                <w:szCs w:val="1"/>
                <w:color w:val="auto"/>
              </w:rPr>
            </w:pPr>
          </w:p>
        </w:tc>
      </w:tr>
      <w:tr>
        <w:trPr>
          <w:trHeight w:val="210"/>
        </w:trPr>
        <w:tc>
          <w:tcPr>
            <w:tcW w:w="76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ceded - excess of $1,000,000 of coverage</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0" w:type="dxa"/>
            <w:vAlign w:val="bottom"/>
          </w:tcPr>
          <w:p>
            <w:pPr>
              <w:spacing w:after="0"/>
              <w:rPr>
                <w:sz w:val="1"/>
                <w:szCs w:val="1"/>
                <w:color w:val="auto"/>
              </w:rPr>
            </w:pPr>
          </w:p>
        </w:tc>
      </w:tr>
      <w:tr>
        <w:trPr>
          <w:trHeight w:val="33"/>
        </w:trPr>
        <w:tc>
          <w:tcPr>
            <w:tcW w:w="800" w:type="dxa"/>
            <w:vAlign w:val="bottom"/>
          </w:tcPr>
          <w:p>
            <w:pPr>
              <w:spacing w:after="0"/>
              <w:rPr>
                <w:sz w:val="2"/>
                <w:szCs w:val="2"/>
                <w:color w:val="auto"/>
              </w:rPr>
            </w:pPr>
          </w:p>
        </w:tc>
        <w:tc>
          <w:tcPr>
            <w:tcW w:w="6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8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Risk retained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300,000</w:t>
            </w:r>
          </w:p>
        </w:tc>
        <w:tc>
          <w:tcPr>
            <w:tcW w:w="0" w:type="dxa"/>
            <w:vAlign w:val="bottom"/>
          </w:tcPr>
          <w:p>
            <w:pPr>
              <w:spacing w:after="0"/>
              <w:rPr>
                <w:sz w:val="1"/>
                <w:szCs w:val="1"/>
                <w:color w:val="auto"/>
              </w:rPr>
            </w:pPr>
          </w:p>
        </w:tc>
      </w:tr>
      <w:tr>
        <w:trPr>
          <w:trHeight w:val="210"/>
        </w:trPr>
        <w:tc>
          <w:tcPr>
            <w:tcW w:w="76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Total reinsurance coverage per occurrence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4,700,000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4,700,000</w:t>
            </w:r>
          </w:p>
        </w:tc>
        <w:tc>
          <w:tcPr>
            <w:tcW w:w="0" w:type="dxa"/>
            <w:vAlign w:val="bottom"/>
          </w:tcPr>
          <w:p>
            <w:pPr>
              <w:spacing w:after="0"/>
              <w:rPr>
                <w:sz w:val="1"/>
                <w:szCs w:val="1"/>
                <w:color w:val="auto"/>
              </w:rPr>
            </w:pPr>
          </w:p>
        </w:tc>
      </w:tr>
      <w:tr>
        <w:trPr>
          <w:trHeight w:val="33"/>
        </w:trPr>
        <w:tc>
          <w:tcPr>
            <w:tcW w:w="800" w:type="dxa"/>
            <w:vAlign w:val="bottom"/>
          </w:tcPr>
          <w:p>
            <w:pPr>
              <w:spacing w:after="0"/>
              <w:rPr>
                <w:sz w:val="2"/>
                <w:szCs w:val="2"/>
                <w:color w:val="auto"/>
              </w:rPr>
            </w:pPr>
          </w:p>
        </w:tc>
        <w:tc>
          <w:tcPr>
            <w:tcW w:w="6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8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Losses per occurrence subject to quota share reinsurance coverage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5,000,000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5,000,000</w:t>
            </w:r>
          </w:p>
        </w:tc>
        <w:tc>
          <w:tcPr>
            <w:tcW w:w="0" w:type="dxa"/>
            <w:vAlign w:val="bottom"/>
          </w:tcPr>
          <w:p>
            <w:pPr>
              <w:spacing w:after="0"/>
              <w:rPr>
                <w:sz w:val="1"/>
                <w:szCs w:val="1"/>
                <w:color w:val="auto"/>
              </w:rPr>
            </w:pPr>
          </w:p>
        </w:tc>
      </w:tr>
      <w:tr>
        <w:trPr>
          <w:trHeight w:val="210"/>
        </w:trPr>
        <w:tc>
          <w:tcPr>
            <w:tcW w:w="768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Expiration date</w:t>
            </w:r>
          </w:p>
        </w:tc>
        <w:tc>
          <w:tcPr>
            <w:tcW w:w="2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June 30, 2026</w:t>
            </w:r>
          </w:p>
        </w:tc>
        <w:tc>
          <w:tcPr>
            <w:tcW w:w="180" w:type="dxa"/>
            <w:vAlign w:val="bottom"/>
          </w:tcPr>
          <w:p>
            <w:pPr>
              <w:spacing w:after="0"/>
              <w:rPr>
                <w:sz w:val="18"/>
                <w:szCs w:val="18"/>
                <w:color w:val="auto"/>
              </w:rPr>
            </w:pPr>
          </w:p>
        </w:tc>
        <w:tc>
          <w:tcPr>
            <w:tcW w:w="132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June 30, 2025</w:t>
            </w:r>
          </w:p>
        </w:tc>
        <w:tc>
          <w:tcPr>
            <w:tcW w:w="0" w:type="dxa"/>
            <w:vAlign w:val="bottom"/>
          </w:tcPr>
          <w:p>
            <w:pPr>
              <w:spacing w:after="0"/>
              <w:rPr>
                <w:sz w:val="1"/>
                <w:szCs w:val="1"/>
                <w:color w:val="auto"/>
              </w:rPr>
            </w:pPr>
          </w:p>
        </w:tc>
      </w:tr>
      <w:tr>
        <w:trPr>
          <w:trHeight w:val="33"/>
        </w:trPr>
        <w:tc>
          <w:tcPr>
            <w:tcW w:w="800" w:type="dxa"/>
            <w:vAlign w:val="bottom"/>
          </w:tcPr>
          <w:p>
            <w:pPr>
              <w:spacing w:after="0"/>
              <w:rPr>
                <w:sz w:val="2"/>
                <w:szCs w:val="2"/>
                <w:color w:val="auto"/>
              </w:rPr>
            </w:pPr>
          </w:p>
        </w:tc>
        <w:tc>
          <w:tcPr>
            <w:tcW w:w="6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 w:type="dxa"/>
            <w:vAlign w:val="bottom"/>
            <w:shd w:val="clear" w:color="auto" w:fill="CCEEFF"/>
          </w:tcPr>
          <w:p>
            <w:pPr>
              <w:spacing w:after="0"/>
              <w:rPr>
                <w:sz w:val="23"/>
                <w:szCs w:val="23"/>
                <w:color w:val="auto"/>
              </w:rPr>
            </w:pPr>
          </w:p>
        </w:tc>
        <w:tc>
          <w:tcPr>
            <w:tcW w:w="64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6"/>
          <w:szCs w:val="16"/>
          <w:u w:val="single" w:color="auto"/>
          <w:color w:val="auto"/>
        </w:rPr>
        <w:t>Commercial Lines (1)</w:t>
      </w:r>
    </w:p>
    <w:p>
      <w:pPr>
        <w:spacing w:after="0" w:line="248" w:lineRule="exact"/>
        <w:rPr>
          <w:sz w:val="20"/>
          <w:szCs w:val="20"/>
          <w:color w:val="auto"/>
        </w:rPr>
      </w:pPr>
    </w:p>
    <w:p>
      <w:pPr>
        <w:ind w:left="2140" w:hanging="979"/>
        <w:spacing w:after="0"/>
        <w:tabs>
          <w:tab w:leader="none" w:pos="21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Coverage on all commercial lines policies expired in September 2020; reinsurance coverage is based on treaties in effect on the date of loss.</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Inflation</w:t>
      </w:r>
    </w:p>
    <w:p>
      <w:pPr>
        <w:spacing w:after="0" w:line="223" w:lineRule="exact"/>
        <w:rPr>
          <w:sz w:val="20"/>
          <w:szCs w:val="20"/>
          <w:color w:val="auto"/>
        </w:rPr>
      </w:pPr>
    </w:p>
    <w:p>
      <w:pPr>
        <w:jc w:val="both"/>
        <w:ind w:left="100" w:firstLine="607"/>
        <w:spacing w:after="0" w:line="263" w:lineRule="auto"/>
        <w:rPr>
          <w:sz w:val="20"/>
          <w:szCs w:val="20"/>
          <w:color w:val="auto"/>
        </w:rPr>
      </w:pPr>
      <w:r>
        <w:rPr>
          <w:rFonts w:ascii="Times New Roman" w:cs="Times New Roman" w:eastAsia="Times New Roman" w:hAnsi="Times New Roman"/>
          <w:sz w:val="16"/>
          <w:szCs w:val="16"/>
          <w:color w:val="auto"/>
        </w:rPr>
        <w:t>Premiums are established before we know the amount of losses and loss adjustment expenses or the extent to which inflation may affect such amounts. We attempt to anticipate the potential impact of inflation in establishing our reserves, especially as it relates to medical and hospital rates where historical inflation rates have exceeded the general level of inflation. Inflation in excess of the levels we have assumed could cause loss and loss adjustment expenses to be higher than we anticipated, which would require us to increase reserves and reduce earnings.</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Fluctuations in rates of inflation also influence interest rates, which in turn impact the market value of our investment portfolio and yields on new investments.</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Operating expenses, including salaries and benefits, generally are impacted by inflation.</w:t>
      </w:r>
    </w:p>
    <w:p>
      <w:pPr>
        <w:spacing w:after="0" w:line="203" w:lineRule="exact"/>
        <w:rPr>
          <w:sz w:val="20"/>
          <w:szCs w:val="20"/>
          <w:color w:val="auto"/>
        </w:rPr>
      </w:pPr>
    </w:p>
    <w:p>
      <w:pPr>
        <w:jc w:val="both"/>
        <w:ind w:left="100" w:right="20" w:firstLine="607"/>
        <w:spacing w:after="0" w:line="298" w:lineRule="auto"/>
        <w:rPr>
          <w:sz w:val="20"/>
          <w:szCs w:val="20"/>
          <w:color w:val="auto"/>
        </w:rPr>
      </w:pPr>
      <w:r>
        <w:rPr>
          <w:rFonts w:ascii="Times New Roman" w:cs="Times New Roman" w:eastAsia="Times New Roman" w:hAnsi="Times New Roman"/>
          <w:sz w:val="16"/>
          <w:szCs w:val="16"/>
          <w:color w:val="auto"/>
        </w:rPr>
        <w:t>In the Three Months of 2026, there was an increase in interest rates, a widening of credit spreads, lower public equity valuations, and significant financial market volatility. The higher interest rates and widening of credit spreads reduced the value of our fixed income securities.</w:t>
      </w:r>
    </w:p>
    <w:p>
      <w:pPr>
        <w:spacing w:after="0" w:line="14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237" w:lineRule="exact"/>
        <w:rPr>
          <w:sz w:val="20"/>
          <w:szCs w:val="20"/>
          <w:color w:val="auto"/>
        </w:rPr>
      </w:pPr>
    </w:p>
    <w:p>
      <w:pPr>
        <w:jc w:val="both"/>
        <w:ind w:left="100" w:firstLine="648"/>
        <w:spacing w:after="0" w:line="280" w:lineRule="auto"/>
        <w:rPr>
          <w:sz w:val="20"/>
          <w:szCs w:val="20"/>
          <w:color w:val="auto"/>
        </w:rPr>
      </w:pPr>
      <w:r>
        <w:rPr>
          <w:rFonts w:ascii="Times New Roman" w:cs="Times New Roman" w:eastAsia="Times New Roman" w:hAnsi="Times New Roman"/>
          <w:sz w:val="16"/>
          <w:szCs w:val="16"/>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Outlook</w:t>
      </w:r>
    </w:p>
    <w:p>
      <w:pPr>
        <w:spacing w:after="0" w:line="237" w:lineRule="exact"/>
        <w:rPr>
          <w:sz w:val="20"/>
          <w:szCs w:val="20"/>
          <w:color w:val="auto"/>
        </w:rPr>
      </w:pPr>
    </w:p>
    <w:p>
      <w:pPr>
        <w:jc w:val="both"/>
        <w:ind w:left="100" w:firstLine="648"/>
        <w:spacing w:after="0" w:line="263" w:lineRule="auto"/>
        <w:rPr>
          <w:sz w:val="20"/>
          <w:szCs w:val="20"/>
          <w:color w:val="auto"/>
        </w:rPr>
      </w:pPr>
      <w:r>
        <w:rPr>
          <w:rFonts w:ascii="Times New Roman" w:cs="Times New Roman" w:eastAsia="Times New Roman" w:hAnsi="Times New Roman"/>
          <w:sz w:val="16"/>
          <w:szCs w:val="16"/>
          <w:color w:val="auto"/>
        </w:rPr>
        <w:t>Our net premiums earned may be impacted by a number of factors. Net premiums earned are a function of net written premium volume. Net written premiums comprise both renewal business and new business and are recognized as earned premium over the term of the underlying policies. Net written premiums from both renewal and new business are impacted by competitive market conditions as well as general economic conditions. We have made underwriting changes to emphasize profitability over growth and have culled out the type of risks that do not generate an acceptable level of return.</w:t>
      </w:r>
    </w:p>
    <w:p>
      <w:pPr>
        <w:spacing w:after="0" w:line="179" w:lineRule="exact"/>
        <w:rPr>
          <w:sz w:val="20"/>
          <w:szCs w:val="20"/>
          <w:color w:val="auto"/>
        </w:rPr>
      </w:pPr>
    </w:p>
    <w:p>
      <w:pPr>
        <w:jc w:val="both"/>
        <w:ind w:left="100" w:firstLine="648"/>
        <w:spacing w:after="0" w:line="263" w:lineRule="auto"/>
        <w:rPr>
          <w:sz w:val="20"/>
          <w:szCs w:val="20"/>
          <w:color w:val="auto"/>
        </w:rPr>
      </w:pPr>
      <w:r>
        <w:rPr>
          <w:rFonts w:ascii="Times New Roman" w:cs="Times New Roman" w:eastAsia="Times New Roman" w:hAnsi="Times New Roman"/>
          <w:sz w:val="16"/>
          <w:szCs w:val="16"/>
          <w:color w:val="auto"/>
        </w:rPr>
        <w:t>On April 14, 2025, KICO entered into an agreement to offer a quote for a replacement policy to selected homeowners policyholders in Downstate New York as one of our competitors pivoted focus away from admitted personal lines business (the "Withdrawal Plan"). The Withdrawal Plan, which includes this transaction, was approved by the DFS. The Withdrawal Plan enabled KICO to work with new distribution partners to further increase its footprint in Downstate New York by offering an alternative policy to selected homeowners policyholders with effective dates that started in the third quarter of 2025. In March 2026, we announced that we intend to expand into new markets, starting with California in the second quarter of 2026.</w:t>
      </w:r>
    </w:p>
    <w:p>
      <w:pPr>
        <w:spacing w:after="0" w:line="180" w:lineRule="exact"/>
        <w:rPr>
          <w:sz w:val="20"/>
          <w:szCs w:val="20"/>
          <w:color w:val="auto"/>
        </w:rPr>
      </w:pPr>
    </w:p>
    <w:p>
      <w:pPr>
        <w:jc w:val="both"/>
        <w:ind w:left="100" w:firstLine="648"/>
        <w:spacing w:after="0" w:line="272" w:lineRule="auto"/>
        <w:rPr>
          <w:sz w:val="20"/>
          <w:szCs w:val="20"/>
          <w:color w:val="auto"/>
        </w:rPr>
      </w:pPr>
      <w:r>
        <w:rPr>
          <w:rFonts w:ascii="Times New Roman" w:cs="Times New Roman" w:eastAsia="Times New Roman" w:hAnsi="Times New Roman"/>
          <w:sz w:val="16"/>
          <w:szCs w:val="16"/>
          <w:color w:val="auto"/>
        </w:rPr>
        <w:t>During the first quarter of 2026, winter weather in the Northeast United States was more severe than recent winters with losses incurred from eleven catastrophe events during the months of January and February 2026. The 2026 guidance disclosed in our Form 8-K filing on March 5, 2026 assumed higher than historical average catastrophe losses in the Three Months of 2026 and full year of 2026.</w:t>
      </w:r>
    </w:p>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1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See “Forward-Looking Statements” before Part I, Item 1.</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Non-GAAP financial measures should be considered in addition to, and not as a substitute for or superior to, financial measures presented in accordance with GAAP.</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reconciles GAAP net premiums earned to net written premiums and direct written premiums for the periods presented:</w:t>
      </w:r>
    </w:p>
    <w:p>
      <w:pPr>
        <w:spacing w:after="0" w:line="200" w:lineRule="exact"/>
        <w:rPr>
          <w:sz w:val="20"/>
          <w:szCs w:val="20"/>
          <w:color w:val="auto"/>
        </w:rPr>
      </w:pPr>
    </w:p>
    <w:p>
      <w:pPr>
        <w:spacing w:after="0" w:line="330" w:lineRule="exact"/>
        <w:rPr>
          <w:sz w:val="20"/>
          <w:szCs w:val="20"/>
          <w:color w:val="auto"/>
        </w:rPr>
      </w:pPr>
    </w:p>
    <w:p>
      <w:pPr>
        <w:jc w:val="center"/>
        <w:ind w:left="15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5" w:lineRule="exact"/>
        <w:rPr>
          <w:sz w:val="20"/>
          <w:szCs w:val="20"/>
          <w:color w:val="auto"/>
        </w:rPr>
      </w:pPr>
    </w:p>
    <w:p>
      <w:pPr>
        <w:jc w:val="center"/>
        <w:ind w:left="15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8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1"/>
        </w:trPr>
        <w:tc>
          <w:tcPr>
            <w:tcW w:w="4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4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2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net premiums earned</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55,868,814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43,523,063</w:t>
            </w:r>
          </w:p>
        </w:tc>
      </w:tr>
      <w:tr>
        <w:trPr>
          <w:trHeight w:val="210"/>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unearned premiums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21,724,423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17,486,344</w:t>
            </w:r>
          </w:p>
        </w:tc>
      </w:tr>
      <w:tr>
        <w:trPr>
          <w:trHeight w:val="33"/>
        </w:trPr>
        <w:tc>
          <w:tcPr>
            <w:tcW w:w="4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premiums written</w:t>
            </w: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77,593,237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61,009,407</w:t>
            </w:r>
          </w:p>
        </w:tc>
      </w:tr>
      <w:tr>
        <w:trPr>
          <w:trHeight w:val="210"/>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Ceded premiums written</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7,989,856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2,834,411</w:t>
            </w:r>
          </w:p>
        </w:tc>
      </w:tr>
      <w:tr>
        <w:trPr>
          <w:trHeight w:val="33"/>
        </w:trPr>
        <w:tc>
          <w:tcPr>
            <w:tcW w:w="4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2"/>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 premiums written</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69,603,381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58,174,996</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reconciles the GAAP net loss ratio to the net loss ratio excluding the effect of catastrophes and to the underlying loss ratio for the periods presented:</w:t>
      </w:r>
    </w:p>
    <w:p>
      <w:pPr>
        <w:spacing w:after="0" w:line="200" w:lineRule="exact"/>
        <w:rPr>
          <w:sz w:val="20"/>
          <w:szCs w:val="20"/>
          <w:color w:val="auto"/>
        </w:rPr>
      </w:pPr>
    </w:p>
    <w:p>
      <w:pPr>
        <w:spacing w:after="0" w:line="330"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6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31"/>
        </w:trPr>
        <w:tc>
          <w:tcPr>
            <w:tcW w:w="4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net loss ratio</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81.6%</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62.4%</w:t>
            </w:r>
          </w:p>
        </w:tc>
        <w:tc>
          <w:tcPr>
            <w:tcW w:w="0" w:type="dxa"/>
            <w:vAlign w:val="bottom"/>
          </w:tcPr>
          <w:p>
            <w:pPr>
              <w:spacing w:after="0"/>
              <w:rPr>
                <w:sz w:val="1"/>
                <w:szCs w:val="1"/>
                <w:color w:val="auto"/>
              </w:rPr>
            </w:pPr>
          </w:p>
        </w:tc>
      </w:tr>
      <w:tr>
        <w:trPr>
          <w:trHeight w:val="210"/>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Effect of catastrophes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ratio excluding the effect of catastrophes</w:t>
            </w:r>
          </w:p>
        </w:tc>
        <w:tc>
          <w:tcPr>
            <w:tcW w:w="8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55.6%</w:t>
            </w: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60.7%</w:t>
            </w:r>
          </w:p>
        </w:tc>
        <w:tc>
          <w:tcPr>
            <w:tcW w:w="0" w:type="dxa"/>
            <w:vAlign w:val="bottom"/>
          </w:tcPr>
          <w:p>
            <w:pPr>
              <w:spacing w:after="0"/>
              <w:rPr>
                <w:sz w:val="1"/>
                <w:szCs w:val="1"/>
                <w:color w:val="auto"/>
              </w:rPr>
            </w:pPr>
          </w:p>
        </w:tc>
      </w:tr>
      <w:tr>
        <w:trPr>
          <w:trHeight w:val="210"/>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Effect of prior year reserve development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33"/>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Underlying loss ratio</w:t>
            </w: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62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57.9%</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62.1%</w:t>
            </w:r>
          </w:p>
        </w:tc>
        <w:tc>
          <w:tcPr>
            <w:tcW w:w="0" w:type="dxa"/>
            <w:vAlign w:val="bottom"/>
          </w:tcPr>
          <w:p>
            <w:pPr>
              <w:spacing w:after="0"/>
              <w:rPr>
                <w:sz w:val="1"/>
                <w:szCs w:val="1"/>
                <w:color w:val="auto"/>
              </w:rPr>
            </w:pPr>
          </w:p>
        </w:tc>
      </w:tr>
      <w:tr>
        <w:trPr>
          <w:trHeight w:val="31"/>
        </w:trPr>
        <w:tc>
          <w:tcPr>
            <w:tcW w:w="4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reconciles the GAAP net loss ratio to the net loss ratio excluding commercial lines business for the periods presented:</w:t>
      </w:r>
    </w:p>
    <w:p>
      <w:pPr>
        <w:spacing w:after="0" w:line="200" w:lineRule="exact"/>
        <w:rPr>
          <w:sz w:val="20"/>
          <w:szCs w:val="20"/>
          <w:color w:val="auto"/>
        </w:rPr>
      </w:pPr>
    </w:p>
    <w:p>
      <w:pPr>
        <w:spacing w:after="0" w:line="316" w:lineRule="exact"/>
        <w:rPr>
          <w:sz w:val="20"/>
          <w:szCs w:val="20"/>
          <w:color w:val="auto"/>
        </w:rPr>
      </w:pPr>
    </w:p>
    <w:p>
      <w:pPr>
        <w:jc w:val="center"/>
        <w:ind w:left="9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5" w:lineRule="exact"/>
        <w:rPr>
          <w:sz w:val="20"/>
          <w:szCs w:val="20"/>
          <w:color w:val="auto"/>
        </w:rPr>
      </w:pPr>
    </w:p>
    <w:p>
      <w:pPr>
        <w:jc w:val="center"/>
        <w:ind w:left="9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64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1"/>
        </w:trPr>
        <w:tc>
          <w:tcPr>
            <w:tcW w:w="4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46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23"/>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net loss ratio</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81.6%</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62.4%</w:t>
            </w:r>
          </w:p>
        </w:tc>
      </w:tr>
      <w:tr>
        <w:trPr>
          <w:trHeight w:val="21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Effect of commercial lines business</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33"/>
        </w:trPr>
        <w:tc>
          <w:tcPr>
            <w:tcW w:w="46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1"/>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ratio excluding the effect of commercial lines business</w:t>
            </w:r>
          </w:p>
        </w:tc>
        <w:tc>
          <w:tcPr>
            <w:tcW w:w="8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81.6%</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63.3%</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20"/>
          </w:cols>
          <w:pgMar w:left="320" w:top="11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19" w:right="65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reconciles GAAP net (loss) income to net (loss) income from insurance underwriting business on a standalone basis for the periods presented:</w:t>
      </w:r>
    </w:p>
    <w:p>
      <w:pPr>
        <w:spacing w:after="0" w:line="287" w:lineRule="exact"/>
        <w:rPr>
          <w:sz w:val="20"/>
          <w:szCs w:val="20"/>
          <w:color w:val="auto"/>
        </w:rPr>
      </w:pPr>
    </w:p>
    <w:p>
      <w:pPr>
        <w:jc w:val="center"/>
        <w:ind w:left="10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5"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8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31"/>
        </w:trPr>
        <w:tc>
          <w:tcPr>
            <w:tcW w:w="4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net (loss) income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(5,808,250)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3,882,660</w:t>
            </w:r>
          </w:p>
        </w:tc>
        <w:tc>
          <w:tcPr>
            <w:tcW w:w="0" w:type="dxa"/>
            <w:vAlign w:val="bottom"/>
          </w:tcPr>
          <w:p>
            <w:pPr>
              <w:spacing w:after="0"/>
              <w:rPr>
                <w:sz w:val="1"/>
                <w:szCs w:val="1"/>
                <w:color w:val="auto"/>
              </w:rPr>
            </w:pPr>
          </w:p>
        </w:tc>
      </w:tr>
      <w:tr>
        <w:trPr>
          <w:trHeight w:val="210"/>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Holding company operations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(1,775,424)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(783,809)</w:t>
            </w:r>
          </w:p>
        </w:tc>
        <w:tc>
          <w:tcPr>
            <w:tcW w:w="0" w:type="dxa"/>
            <w:vAlign w:val="bottom"/>
          </w:tcPr>
          <w:p>
            <w:pPr>
              <w:spacing w:after="0"/>
              <w:rPr>
                <w:sz w:val="1"/>
                <w:szCs w:val="1"/>
                <w:color w:val="auto"/>
              </w:rPr>
            </w:pPr>
          </w:p>
        </w:tc>
      </w:tr>
      <w:tr>
        <w:trPr>
          <w:trHeight w:val="33"/>
        </w:trPr>
        <w:tc>
          <w:tcPr>
            <w:tcW w:w="4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8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Net (loss) income from insurance underwriting business on a standalone</w:t>
            </w: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(4,032,826)</w:t>
            </w:r>
          </w:p>
        </w:tc>
        <w:tc>
          <w:tcPr>
            <w:tcW w:w="1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4,666,469</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basis</w:t>
            </w: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The following table reconciles the GAAP net loss ratio, GAAP net underwriting expense ratio, and GAAP net combined ratio to the net loss ratio excluding the effect of catastrophes, net underwriting expense ratio excluding the effect of catastrophes, and net combined ratio excluding the effect of catastrophes for the periods presented:</w:t>
      </w:r>
    </w:p>
    <w:p>
      <w:pPr>
        <w:spacing w:after="0" w:line="216"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5"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660" w:type="dxa"/>
            <w:vAlign w:val="bottom"/>
          </w:tcPr>
          <w:p>
            <w:pPr>
              <w:spacing w:after="0"/>
              <w:rPr>
                <w:sz w:val="19"/>
                <w:szCs w:val="19"/>
                <w:color w:val="auto"/>
              </w:rPr>
            </w:pPr>
          </w:p>
        </w:tc>
        <w:tc>
          <w:tcPr>
            <w:tcW w:w="136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1"/>
        </w:trPr>
        <w:tc>
          <w:tcPr>
            <w:tcW w:w="4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46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3"/>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net loss ratio</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81.6%</w:t>
            </w:r>
          </w:p>
        </w:tc>
        <w:tc>
          <w:tcPr>
            <w:tcW w:w="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62.4%</w:t>
            </w:r>
          </w:p>
        </w:tc>
      </w:tr>
      <w:tr>
        <w:trPr>
          <w:trHeight w:val="210"/>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catastrophes</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33"/>
        </w:trPr>
        <w:tc>
          <w:tcPr>
            <w:tcW w:w="46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2"/>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ratio excluding the effect of catastrophes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55.6%</w:t>
            </w:r>
          </w:p>
        </w:tc>
        <w:tc>
          <w:tcPr>
            <w:tcW w:w="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60.7%</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3"/>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net underwriting expense ratio</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30.4%</w:t>
            </w:r>
          </w:p>
        </w:tc>
        <w:tc>
          <w:tcPr>
            <w:tcW w:w="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31.3%</w:t>
            </w:r>
          </w:p>
        </w:tc>
      </w:tr>
      <w:tr>
        <w:trPr>
          <w:trHeight w:val="210"/>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catastrophes</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33"/>
        </w:trPr>
        <w:tc>
          <w:tcPr>
            <w:tcW w:w="46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2"/>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underwriting expense ratio excluding the effect of catastrophes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30.4%</w:t>
            </w:r>
          </w:p>
        </w:tc>
        <w:tc>
          <w:tcPr>
            <w:tcW w:w="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31.3%</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3"/>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net combined ratio</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w:t>
            </w:r>
          </w:p>
        </w:tc>
        <w:tc>
          <w:tcPr>
            <w:tcW w:w="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r>
      <w:tr>
        <w:trPr>
          <w:trHeight w:val="210"/>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catastrophes</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33"/>
        </w:trPr>
        <w:tc>
          <w:tcPr>
            <w:tcW w:w="46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1"/>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combined ratio excluding the effect of catastrophes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86.0%</w:t>
            </w:r>
          </w:p>
        </w:tc>
        <w:tc>
          <w:tcPr>
            <w:tcW w:w="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92.0%</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3. </w:t>
      </w:r>
      <w:r>
        <w:rPr>
          <w:rFonts w:ascii="Times New Roman" w:cs="Times New Roman" w:eastAsia="Times New Roman" w:hAnsi="Times New Roman"/>
          <w:sz w:val="16"/>
          <w:szCs w:val="16"/>
          <w:b w:val="1"/>
          <w:bCs w:val="1"/>
          <w:u w:val="single" w:color="auto"/>
          <w:color w:val="auto"/>
        </w:rPr>
        <w:t>Quantitative and Qualitative Disclosures About Market Risk</w:t>
      </w:r>
      <w:r>
        <w:rPr>
          <w:rFonts w:ascii="Times New Roman" w:cs="Times New Roman" w:eastAsia="Times New Roman" w:hAnsi="Times New Roman"/>
          <w:sz w:val="16"/>
          <w:szCs w:val="16"/>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This item is not applicable to smaller reporting companies.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4. </w:t>
      </w:r>
      <w:r>
        <w:rPr>
          <w:rFonts w:ascii="Times New Roman" w:cs="Times New Roman" w:eastAsia="Times New Roman" w:hAnsi="Times New Roman"/>
          <w:sz w:val="16"/>
          <w:szCs w:val="16"/>
          <w:b w:val="1"/>
          <w:bCs w:val="1"/>
          <w:u w:val="single" w:color="auto"/>
          <w:color w:val="auto"/>
        </w:rPr>
        <w:t>Controls and Procedures</w:t>
      </w:r>
      <w:r>
        <w:rPr>
          <w:rFonts w:ascii="Times New Roman" w:cs="Times New Roman" w:eastAsia="Times New Roman" w:hAnsi="Times New Roman"/>
          <w:sz w:val="16"/>
          <w:szCs w:val="16"/>
          <w:color w:val="auto"/>
        </w:rPr>
        <w: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Evaluation of Disclosure Controls and Procedures</w:t>
      </w:r>
    </w:p>
    <w:p>
      <w:pPr>
        <w:spacing w:after="0" w:line="212"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as defined in Rule 13a-15(f) under the Exchange Act. Our internal control over financial reporting is designed to provide reasonable assurances regarding the reliability of financial reporting and the preparation of our condensed consolidated financial statements in accordance with U.S. generally accepted accounting principles.</w:t>
      </w:r>
    </w:p>
    <w:p>
      <w:pPr>
        <w:spacing w:after="0" w:line="185"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16"/>
          <w:szCs w:val="16"/>
          <w:color w:val="auto"/>
        </w:rPr>
        <w:t xml:space="preserve">Under the supervision and with the participation of management, including our Chief Executive Officer and Chief Financial Officer, we conducted an evaluation of the effectiveness of our internal control over financial reporting based on criteria established in </w:t>
      </w:r>
      <w:r>
        <w:rPr>
          <w:rFonts w:ascii="Times New Roman" w:cs="Times New Roman" w:eastAsia="Times New Roman" w:hAnsi="Times New Roman"/>
          <w:sz w:val="16"/>
          <w:szCs w:val="16"/>
          <w:i w:val="1"/>
          <w:iCs w:val="1"/>
          <w:color w:val="auto"/>
        </w:rPr>
        <w:t>Internal Control — Integrated Framework (2013)</w:t>
      </w:r>
      <w:r>
        <w:rPr>
          <w:rFonts w:ascii="Times New Roman" w:cs="Times New Roman" w:eastAsia="Times New Roman" w:hAnsi="Times New Roman"/>
          <w:sz w:val="16"/>
          <w:szCs w:val="16"/>
          <w:color w:val="auto"/>
        </w:rPr>
        <w:t xml:space="preserve"> issued by the Committee of Sponsoring Organizations of the Treadway Commission.</w:t>
      </w:r>
    </w:p>
    <w:p>
      <w:pPr>
        <w:spacing w:after="0" w:line="17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6"/>
          <w:szCs w:val="16"/>
          <w:color w:val="auto"/>
        </w:rPr>
        <w:t>We previously disclosed that as of December 31, 2025, our internal control over financial reporting contained a material weakness due to the lack of receiving a Service Organization Control (SOC) 1 Type 2 report for our insurance premium quoting platform system and our general ledger system. Therefore, we cannot rely on the controls within these systems, including automated and manual process level controls, and remaining information technology general controls, that are dependent upon the information derived from</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such systems. We are working with our insurance premium quoting platform system vendor and our general ledger vendor to develop a remediation plan. Our management expects to have both material weaknesses remediated by December 31, 2026. Because of this material weakness in internal control over financial reporting, as of March 31, 2026, our disclosure controls are not considered effective. Our management concluded that all other internal controls over financial reporting were effective as of March 31, 2026.</w:t>
      </w:r>
    </w:p>
    <w:p>
      <w:pPr>
        <w:spacing w:after="0" w:line="21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6"/>
          <w:szCs w:val="16"/>
          <w:color w:val="auto"/>
        </w:rPr>
        <w:t>A material weakness (within the meaning of PCAOB Auditing Standard No. 5) is a deficiency, or a combination of deficiencies, in internal control over financial reporting, such that there is a reasonable possibility that a material misstatement of our annual or interim financial statements will not be prevented or detected on a timely basis. A significant deficiency is a deficiency, or a combination of deficiencies, in internal control over financial reporting that is less severe than a material weakness, yet important enough to merit attention by those responsible for oversight of our financial reporting. Because of its inherent limitations, internal control over financial reporting may not prevent or detect misstatements.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Internal Control over Financial Reporting</w:t>
      </w:r>
    </w:p>
    <w:p>
      <w:pPr>
        <w:spacing w:after="0" w:line="239"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There have not been any changes in our internal control over financial reporting (as such term is defined in Rules 13a-15(f) and 15d-15(f) under the Exchange Act) during our most recently completed fiscal quarter that materially affected, or are reasonably likely to materially affect, our internal control over financial reporting.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Inherent Limitation on Effectiveness of Controls</w:t>
      </w:r>
    </w:p>
    <w:p>
      <w:pPr>
        <w:spacing w:after="0" w:line="239"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6"/>
          <w:szCs w:val="16"/>
          <w:color w:val="auto"/>
        </w:rPr>
        <w:t>Internal control over financial reporting is a process designed by, or under the supervision of, our Chief Executive Officer and Chief Financial Officer, and effected by the board of directors, management, and other personnel, to provide reasonable assurance regarding the reliability of financial reporting and the preparation of financial statements for external purposes in accordance with GAAP including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68" w:lineRule="exact"/>
        <w:rPr>
          <w:sz w:val="20"/>
          <w:szCs w:val="20"/>
          <w:color w:val="auto"/>
        </w:rPr>
      </w:pPr>
    </w:p>
    <w:p>
      <w:pPr>
        <w:jc w:val="both"/>
        <w:ind w:firstLine="607"/>
        <w:spacing w:after="0" w:line="263"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PART II. </w:t>
      </w:r>
      <w:r>
        <w:rPr>
          <w:rFonts w:ascii="Times New Roman" w:cs="Times New Roman" w:eastAsia="Times New Roman" w:hAnsi="Times New Roman"/>
          <w:sz w:val="16"/>
          <w:szCs w:val="16"/>
          <w:b w:val="1"/>
          <w:bCs w:val="1"/>
          <w:u w:val="single" w:color="auto"/>
          <w:color w:val="auto"/>
        </w:rPr>
        <w:t>OTHER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1. </w:t>
      </w:r>
      <w:r>
        <w:rPr>
          <w:rFonts w:ascii="Times New Roman" w:cs="Times New Roman" w:eastAsia="Times New Roman" w:hAnsi="Times New Roman"/>
          <w:sz w:val="16"/>
          <w:szCs w:val="16"/>
          <w:b w:val="1"/>
          <w:bCs w:val="1"/>
          <w:u w:val="single" w:color="auto"/>
          <w:color w:val="auto"/>
        </w:rPr>
        <w:t>Legal Proceedings</w:t>
      </w:r>
      <w:r>
        <w:rPr>
          <w:rFonts w:ascii="Times New Roman" w:cs="Times New Roman" w:eastAsia="Times New Roman" w:hAnsi="Times New Roman"/>
          <w:sz w:val="16"/>
          <w:szCs w:val="16"/>
          <w:color w:val="auto"/>
        </w:rPr>
        <w:t>.</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None.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1A. </w:t>
      </w:r>
      <w:r>
        <w:rPr>
          <w:rFonts w:ascii="Times New Roman" w:cs="Times New Roman" w:eastAsia="Times New Roman" w:hAnsi="Times New Roman"/>
          <w:sz w:val="16"/>
          <w:szCs w:val="16"/>
          <w:b w:val="1"/>
          <w:bCs w:val="1"/>
          <w:u w:val="single" w:color="auto"/>
          <w:color w:val="auto"/>
        </w:rPr>
        <w:t>Risk Factors</w:t>
      </w:r>
      <w:r>
        <w:rPr>
          <w:rFonts w:ascii="Times New Roman" w:cs="Times New Roman" w:eastAsia="Times New Roman" w:hAnsi="Times New Roman"/>
          <w:sz w:val="16"/>
          <w:szCs w:val="16"/>
          <w:color w:val="auto"/>
        </w:rPr>
        <w:t>.</w:t>
      </w:r>
    </w:p>
    <w:p>
      <w:pPr>
        <w:spacing w:after="0" w:line="23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For a discussion of the Company’s potential risks and uncertainties, see Part I, Item 1A— “Risk Factors” and Part II, Item 7— “Management’s Discussion and Analysis of Financial Condition and Results of Operations” in the Company’s Annual Report on Form 10-K for the year ended December 31, 2025 (the "2025 Annual Report") filed with the SEC, and Part I, Item 2—“Management’s Discussion and Analysis of Financial Condition and Results of Operations” herein, in each case as updated by the Company's periodic filings with the SEC. There have been no material changes to the risk factors disclosed in Part I, Item 1A of the Company’s 2025 Annual Report.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2. </w:t>
      </w:r>
      <w:r>
        <w:rPr>
          <w:rFonts w:ascii="Times New Roman" w:cs="Times New Roman" w:eastAsia="Times New Roman" w:hAnsi="Times New Roman"/>
          <w:sz w:val="16"/>
          <w:szCs w:val="16"/>
          <w:b w:val="1"/>
          <w:bCs w:val="1"/>
          <w:u w:val="single" w:color="auto"/>
          <w:color w:val="auto"/>
        </w:rPr>
        <w:t>Unregistered Sales of Equity Securities and Use of Proceeds</w:t>
      </w:r>
      <w:r>
        <w:rPr>
          <w:rFonts w:ascii="Times New Roman" w:cs="Times New Roman" w:eastAsia="Times New Roman" w:hAnsi="Times New Roman"/>
          <w:sz w:val="16"/>
          <w:szCs w:val="16"/>
          <w:color w:val="auto"/>
        </w:rPr>
        <w:t>.</w:t>
      </w:r>
    </w:p>
    <w:p>
      <w:pPr>
        <w:spacing w:after="0" w:line="223" w:lineRule="exact"/>
        <w:rPr>
          <w:sz w:val="20"/>
          <w:szCs w:val="20"/>
          <w:color w:val="auto"/>
        </w:rPr>
      </w:pPr>
    </w:p>
    <w:p>
      <w:pPr>
        <w:ind w:left="2020" w:hanging="959"/>
        <w:spacing w:after="0"/>
        <w:tabs>
          <w:tab w:leader="none" w:pos="2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w:t>
      </w:r>
    </w:p>
    <w:p>
      <w:pPr>
        <w:spacing w:after="0" w:line="221" w:lineRule="exact"/>
        <w:rPr>
          <w:rFonts w:ascii="Times New Roman" w:cs="Times New Roman" w:eastAsia="Times New Roman" w:hAnsi="Times New Roman"/>
          <w:sz w:val="16"/>
          <w:szCs w:val="16"/>
          <w:color w:val="auto"/>
        </w:rPr>
      </w:pPr>
    </w:p>
    <w:p>
      <w:pPr>
        <w:ind w:left="2040" w:hanging="979"/>
        <w:spacing w:after="0"/>
        <w:tabs>
          <w:tab w:leader="none" w:pos="20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applicable.</w:t>
      </w:r>
    </w:p>
    <w:p>
      <w:pPr>
        <w:spacing w:after="0" w:line="221" w:lineRule="exact"/>
        <w:rPr>
          <w:rFonts w:ascii="Times New Roman" w:cs="Times New Roman" w:eastAsia="Times New Roman" w:hAnsi="Times New Roman"/>
          <w:sz w:val="16"/>
          <w:szCs w:val="16"/>
          <w:color w:val="auto"/>
        </w:rPr>
      </w:pPr>
    </w:p>
    <w:p>
      <w:pPr>
        <w:ind w:left="2020" w:hanging="959"/>
        <w:spacing w:after="0"/>
        <w:tabs>
          <w:tab w:leader="none" w:pos="20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3. </w:t>
      </w:r>
      <w:r>
        <w:rPr>
          <w:rFonts w:ascii="Times New Roman" w:cs="Times New Roman" w:eastAsia="Times New Roman" w:hAnsi="Times New Roman"/>
          <w:sz w:val="16"/>
          <w:szCs w:val="16"/>
          <w:b w:val="1"/>
          <w:bCs w:val="1"/>
          <w:u w:val="single" w:color="auto"/>
          <w:color w:val="auto"/>
        </w:rPr>
        <w:t>Defaults Upon Senior Securities</w:t>
      </w:r>
      <w:r>
        <w:rPr>
          <w:rFonts w:ascii="Times New Roman" w:cs="Times New Roman" w:eastAsia="Times New Roman" w:hAnsi="Times New Roman"/>
          <w:sz w:val="16"/>
          <w:szCs w:val="16"/>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None.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4. </w:t>
      </w:r>
      <w:r>
        <w:rPr>
          <w:rFonts w:ascii="Times New Roman" w:cs="Times New Roman" w:eastAsia="Times New Roman" w:hAnsi="Times New Roman"/>
          <w:sz w:val="16"/>
          <w:szCs w:val="16"/>
          <w:b w:val="1"/>
          <w:bCs w:val="1"/>
          <w:u w:val="single" w:color="auto"/>
          <w:color w:val="auto"/>
        </w:rPr>
        <w:t>Mine Safety Disclosures</w:t>
      </w:r>
      <w:r>
        <w:rPr>
          <w:rFonts w:ascii="Times New Roman" w:cs="Times New Roman" w:eastAsia="Times New Roman" w:hAnsi="Times New Roman"/>
          <w:sz w:val="16"/>
          <w:szCs w:val="16"/>
          <w:color w:val="auto"/>
        </w:rPr>
        <w: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Not applicable.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5. </w:t>
      </w:r>
      <w:r>
        <w:rPr>
          <w:rFonts w:ascii="Times New Roman" w:cs="Times New Roman" w:eastAsia="Times New Roman" w:hAnsi="Times New Roman"/>
          <w:sz w:val="16"/>
          <w:szCs w:val="16"/>
          <w:b w:val="1"/>
          <w:bCs w:val="1"/>
          <w:u w:val="single" w:color="auto"/>
          <w:color w:val="auto"/>
        </w:rPr>
        <w:t>Other Information</w:t>
      </w:r>
    </w:p>
    <w:p>
      <w:pPr>
        <w:spacing w:after="0" w:line="223" w:lineRule="exact"/>
        <w:rPr>
          <w:sz w:val="20"/>
          <w:szCs w:val="20"/>
          <w:color w:val="auto"/>
        </w:rPr>
      </w:pPr>
    </w:p>
    <w:p>
      <w:pPr>
        <w:ind w:left="2020" w:hanging="959"/>
        <w:spacing w:after="0"/>
        <w:tabs>
          <w:tab w:leader="none" w:pos="2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w:t>
      </w:r>
    </w:p>
    <w:p>
      <w:pPr>
        <w:spacing w:after="0" w:line="221" w:lineRule="exact"/>
        <w:rPr>
          <w:rFonts w:ascii="Times New Roman" w:cs="Times New Roman" w:eastAsia="Times New Roman" w:hAnsi="Times New Roman"/>
          <w:sz w:val="16"/>
          <w:szCs w:val="16"/>
          <w:color w:val="auto"/>
        </w:rPr>
      </w:pPr>
    </w:p>
    <w:p>
      <w:pPr>
        <w:ind w:left="2040" w:hanging="979"/>
        <w:spacing w:after="0"/>
        <w:tabs>
          <w:tab w:leader="none" w:pos="20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w:t>
      </w:r>
    </w:p>
    <w:p>
      <w:pPr>
        <w:spacing w:after="0" w:line="23" w:lineRule="exact"/>
        <w:rPr>
          <w:rFonts w:ascii="Times New Roman" w:cs="Times New Roman" w:eastAsia="Times New Roman" w:hAnsi="Times New Roman"/>
          <w:sz w:val="16"/>
          <w:szCs w:val="16"/>
          <w:color w:val="auto"/>
        </w:rPr>
      </w:pPr>
    </w:p>
    <w:p>
      <w:pPr>
        <w:ind w:left="2020" w:hanging="959"/>
        <w:spacing w:after="0"/>
        <w:tabs>
          <w:tab w:leader="none" w:pos="20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6. </w:t>
      </w:r>
      <w:r>
        <w:rPr>
          <w:rFonts w:ascii="Times New Roman" w:cs="Times New Roman" w:eastAsia="Times New Roman" w:hAnsi="Times New Roman"/>
          <w:sz w:val="16"/>
          <w:szCs w:val="16"/>
          <w:b w:val="1"/>
          <w:bCs w:val="1"/>
          <w:u w:val="single" w:color="auto"/>
          <w:color w:val="auto"/>
        </w:rPr>
        <w:t>Exhibits</w:t>
      </w:r>
      <w:r>
        <w:rPr>
          <w:rFonts w:ascii="Times New Roman" w:cs="Times New Roman" w:eastAsia="Times New Roman" w:hAnsi="Times New Roman"/>
          <w:sz w:val="16"/>
          <w:szCs w:val="16"/>
          <w:color w:val="auto"/>
        </w:rPr>
        <w: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gridSpan w:val="4"/>
            <w:shd w:val="clear" w:color="auto" w:fill="CCEEFF"/>
          </w:tcPr>
          <w:p>
            <w:pPr>
              <w:jc w:val="right"/>
              <w:ind w:right="140"/>
              <w:spacing w:after="0"/>
              <w:rPr>
                <w:rFonts w:ascii="Times New Roman" w:cs="Times New Roman" w:eastAsia="Times New Roman" w:hAnsi="Times New Roman"/>
                <w:sz w:val="16"/>
                <w:szCs w:val="16"/>
                <w:color w:val="0000FF"/>
                <w:w w:val="92"/>
              </w:rPr>
            </w:pPr>
            <w:hyperlink r:id="rId91">
              <w:r>
                <w:rPr>
                  <w:rFonts w:ascii="Times New Roman" w:cs="Times New Roman" w:eastAsia="Times New Roman" w:hAnsi="Times New Roman"/>
                  <w:sz w:val="16"/>
                  <w:szCs w:val="16"/>
                  <w:color w:val="0000FF"/>
                  <w:w w:val="92"/>
                </w:rPr>
                <w:t>3(a)</w:t>
              </w:r>
            </w:hyperlink>
          </w:p>
        </w:tc>
        <w:tc>
          <w:tcPr>
            <w:tcW w:w="10120" w:type="dxa"/>
            <w:vAlign w:val="bottom"/>
            <w:gridSpan w:val="10"/>
            <w:shd w:val="clear" w:color="auto" w:fill="CCEEFF"/>
          </w:tcPr>
          <w:p>
            <w:pPr>
              <w:spacing w:after="0"/>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Restated Certificate of Incorporation, as amended (incorporated by reference to Exhibit 3(a) to the Company’s Quarterly Report on Form 10-Q for the</w:t>
              </w:r>
            </w:hyperlink>
          </w:p>
        </w:tc>
      </w:tr>
      <w:tr>
        <w:trPr>
          <w:trHeight w:val="163"/>
        </w:trPr>
        <w:tc>
          <w:tcPr>
            <w:tcW w:w="6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0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700" w:type="dxa"/>
            <w:vAlign w:val="bottom"/>
            <w:tcBorders>
              <w:top w:val="single" w:sz="8" w:color="0000FF"/>
            </w:tcBorders>
            <w:gridSpan w:val="6"/>
            <w:shd w:val="clear" w:color="auto" w:fill="CCEEFF"/>
          </w:tcPr>
          <w:p>
            <w:pPr>
              <w:spacing w:after="0" w:line="142"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period ended March 31, 2014 filed on May 15, 2014).</w:t>
              </w:r>
            </w:hyperlink>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16"/>
        </w:trPr>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520" w:type="dxa"/>
            <w:vAlign w:val="bottom"/>
            <w:tcBorders>
              <w:top w:val="single" w:sz="8" w:color="0000FF"/>
            </w:tcBorders>
          </w:tcPr>
          <w:p>
            <w:pPr>
              <w:spacing w:after="0"/>
              <w:rPr>
                <w:sz w:val="18"/>
                <w:szCs w:val="18"/>
                <w:color w:val="auto"/>
              </w:rPr>
            </w:pPr>
          </w:p>
        </w:tc>
        <w:tc>
          <w:tcPr>
            <w:tcW w:w="5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76"/>
        </w:trPr>
        <w:tc>
          <w:tcPr>
            <w:tcW w:w="640" w:type="dxa"/>
            <w:vAlign w:val="bottom"/>
            <w:shd w:val="clear" w:color="auto" w:fill="CCEEFF"/>
          </w:tcPr>
          <w:p>
            <w:pPr>
              <w:spacing w:after="0"/>
              <w:rPr>
                <w:sz w:val="15"/>
                <w:szCs w:val="15"/>
                <w:color w:val="auto"/>
              </w:rPr>
            </w:pPr>
          </w:p>
        </w:tc>
        <w:tc>
          <w:tcPr>
            <w:tcW w:w="480" w:type="dxa"/>
            <w:vAlign w:val="bottom"/>
            <w:gridSpan w:val="6"/>
            <w:shd w:val="clear" w:color="auto" w:fill="CCEEFF"/>
          </w:tcPr>
          <w:p>
            <w:pPr>
              <w:jc w:val="right"/>
              <w:ind w:right="140"/>
              <w:spacing w:after="0" w:line="175" w:lineRule="exact"/>
              <w:rPr>
                <w:rFonts w:ascii="Times New Roman" w:cs="Times New Roman" w:eastAsia="Times New Roman" w:hAnsi="Times New Roman"/>
                <w:sz w:val="16"/>
                <w:szCs w:val="16"/>
                <w:color w:val="0000FF"/>
                <w:w w:val="99"/>
              </w:rPr>
            </w:pPr>
            <w:hyperlink r:id="rId92">
              <w:r>
                <w:rPr>
                  <w:rFonts w:ascii="Times New Roman" w:cs="Times New Roman" w:eastAsia="Times New Roman" w:hAnsi="Times New Roman"/>
                  <w:sz w:val="16"/>
                  <w:szCs w:val="16"/>
                  <w:color w:val="0000FF"/>
                  <w:w w:val="99"/>
                </w:rPr>
                <w:t>3(b)</w:t>
              </w:r>
            </w:hyperlink>
            <w:r>
              <w:rPr>
                <w:rFonts w:ascii="Times New Roman" w:cs="Times New Roman" w:eastAsia="Times New Roman" w:hAnsi="Times New Roman"/>
                <w:sz w:val="16"/>
                <w:szCs w:val="16"/>
                <w:color w:val="000000"/>
                <w:w w:val="99"/>
              </w:rPr>
              <w:t>)</w:t>
            </w:r>
          </w:p>
        </w:tc>
        <w:tc>
          <w:tcPr>
            <w:tcW w:w="10120" w:type="dxa"/>
            <w:vAlign w:val="bottom"/>
            <w:gridSpan w:val="10"/>
            <w:shd w:val="clear" w:color="auto" w:fill="CCEEFF"/>
          </w:tcPr>
          <w:p>
            <w:pPr>
              <w:spacing w:after="0" w:line="175"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By-laws, as amended (incorporated by reference to Exhibit 3(b) to the Company's Annual Report on Form 10-K for the fiscal year ended December 31,</w:t>
              </w:r>
            </w:hyperlink>
          </w:p>
        </w:tc>
      </w:tr>
      <w:tr>
        <w:trPr>
          <w:trHeight w:val="142"/>
        </w:trPr>
        <w:tc>
          <w:tcPr>
            <w:tcW w:w="6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800" w:type="dxa"/>
            <w:vAlign w:val="bottom"/>
            <w:tcBorders>
              <w:top w:val="single" w:sz="8" w:color="0000FF"/>
            </w:tcBorders>
            <w:gridSpan w:val="7"/>
            <w:shd w:val="clear" w:color="auto" w:fill="CCEEFF"/>
          </w:tcPr>
          <w:p>
            <w:pPr>
              <w:spacing w:after="0" w:line="142"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2025 filed on March 16, 2026)</w:t>
              </w:r>
            </w:hyperlink>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21"/>
        </w:trPr>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40" w:type="dxa"/>
            <w:vAlign w:val="bottom"/>
          </w:tcPr>
          <w:p>
            <w:pPr>
              <w:spacing w:after="0"/>
              <w:rPr>
                <w:sz w:val="15"/>
                <w:szCs w:val="15"/>
                <w:color w:val="auto"/>
              </w:rPr>
            </w:pPr>
          </w:p>
        </w:tc>
        <w:tc>
          <w:tcPr>
            <w:tcW w:w="480" w:type="dxa"/>
            <w:vAlign w:val="bottom"/>
            <w:gridSpan w:val="6"/>
          </w:tcPr>
          <w:p>
            <w:pPr>
              <w:jc w:val="right"/>
              <w:ind w:right="140"/>
              <w:spacing w:after="0" w:line="175" w:lineRule="exact"/>
              <w:rPr>
                <w:sz w:val="20"/>
                <w:szCs w:val="20"/>
                <w:color w:val="auto"/>
              </w:rPr>
            </w:pPr>
            <w:r>
              <w:rPr>
                <w:rFonts w:ascii="Times New Roman" w:cs="Times New Roman" w:eastAsia="Times New Roman" w:hAnsi="Times New Roman"/>
                <w:sz w:val="16"/>
                <w:szCs w:val="16"/>
                <w:color w:val="0000FF"/>
                <w:w w:val="94"/>
              </w:rPr>
              <w:t>31(a)</w:t>
            </w:r>
          </w:p>
        </w:tc>
        <w:tc>
          <w:tcPr>
            <w:tcW w:w="10120" w:type="dxa"/>
            <w:vAlign w:val="bottom"/>
            <w:gridSpan w:val="10"/>
          </w:tcPr>
          <w:p>
            <w:pPr>
              <w:spacing w:after="0" w:line="175" w:lineRule="exact"/>
              <w:rPr>
                <w:sz w:val="20"/>
                <w:szCs w:val="20"/>
                <w:color w:val="auto"/>
              </w:rPr>
            </w:pPr>
            <w:r>
              <w:rPr>
                <w:rFonts w:ascii="Times New Roman" w:cs="Times New Roman" w:eastAsia="Times New Roman" w:hAnsi="Times New Roman"/>
                <w:sz w:val="16"/>
                <w:szCs w:val="16"/>
                <w:color w:val="0000FF"/>
              </w:rPr>
              <w:t>Rule 13a-14(a)/15d-14(a) Certification of Principal Executive Officer as adopted pursuant to Section 302 of the Sarbanes-Oxley Act of 2002</w:t>
            </w:r>
          </w:p>
        </w:tc>
      </w:tr>
      <w:tr>
        <w:trPr>
          <w:trHeight w:val="20"/>
        </w:trPr>
        <w:tc>
          <w:tcPr>
            <w:tcW w:w="64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55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1120" w:type="dxa"/>
            <w:vAlign w:val="bottom"/>
            <w:gridSpan w:val="7"/>
          </w:tcPr>
          <w:p>
            <w:pPr>
              <w:jc w:val="right"/>
              <w:ind w:right="140"/>
              <w:spacing w:after="0" w:line="175" w:lineRule="exact"/>
              <w:rPr>
                <w:sz w:val="20"/>
                <w:szCs w:val="20"/>
                <w:color w:val="auto"/>
              </w:rPr>
            </w:pPr>
            <w:r>
              <w:rPr>
                <w:rFonts w:ascii="Times New Roman" w:cs="Times New Roman" w:eastAsia="Times New Roman" w:hAnsi="Times New Roman"/>
                <w:sz w:val="16"/>
                <w:szCs w:val="16"/>
                <w:color w:val="0000FF"/>
              </w:rPr>
              <w:t>31(b)</w:t>
            </w:r>
          </w:p>
        </w:tc>
        <w:tc>
          <w:tcPr>
            <w:tcW w:w="10120" w:type="dxa"/>
            <w:vAlign w:val="bottom"/>
            <w:gridSpan w:val="10"/>
          </w:tcPr>
          <w:p>
            <w:pPr>
              <w:spacing w:after="0" w:line="175" w:lineRule="exact"/>
              <w:rPr>
                <w:sz w:val="20"/>
                <w:szCs w:val="20"/>
                <w:color w:val="auto"/>
              </w:rPr>
            </w:pPr>
            <w:r>
              <w:rPr>
                <w:rFonts w:ascii="Times New Roman" w:cs="Times New Roman" w:eastAsia="Times New Roman" w:hAnsi="Times New Roman"/>
                <w:sz w:val="16"/>
                <w:szCs w:val="16"/>
                <w:color w:val="0000FF"/>
              </w:rPr>
              <w:t>Rule 13a-14(a)/15d-14(a) Certification of Principal Financial Officer as adopted pursuant to Section 302 of the Sarbanes-Oxley Act of 2002</w:t>
            </w:r>
          </w:p>
        </w:tc>
      </w:tr>
      <w:tr>
        <w:trPr>
          <w:trHeight w:val="21"/>
        </w:trPr>
        <w:tc>
          <w:tcPr>
            <w:tcW w:w="64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55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1120" w:type="dxa"/>
            <w:vAlign w:val="bottom"/>
            <w:gridSpan w:val="7"/>
            <w:shd w:val="clear" w:color="auto" w:fill="CCEEFF"/>
          </w:tcPr>
          <w:p>
            <w:pPr>
              <w:jc w:val="right"/>
              <w:ind w:right="140"/>
              <w:spacing w:after="0" w:line="175" w:lineRule="exact"/>
              <w:rPr>
                <w:sz w:val="20"/>
                <w:szCs w:val="20"/>
                <w:color w:val="auto"/>
              </w:rPr>
            </w:pPr>
            <w:r>
              <w:rPr>
                <w:rFonts w:ascii="Times New Roman" w:cs="Times New Roman" w:eastAsia="Times New Roman" w:hAnsi="Times New Roman"/>
                <w:sz w:val="16"/>
                <w:szCs w:val="16"/>
                <w:color w:val="0000FF"/>
              </w:rPr>
              <w:t>32+</w:t>
            </w:r>
          </w:p>
        </w:tc>
        <w:tc>
          <w:tcPr>
            <w:tcW w:w="10120" w:type="dxa"/>
            <w:vAlign w:val="bottom"/>
            <w:gridSpan w:val="10"/>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and Principal Financial Officer Pursuant to 18 U.S.C. Section 1350, as Adopted Pursuant to Section 906 of the</w:t>
            </w:r>
          </w:p>
        </w:tc>
      </w:tr>
      <w:tr>
        <w:trPr>
          <w:trHeight w:val="163"/>
        </w:trPr>
        <w:tc>
          <w:tcPr>
            <w:tcW w:w="6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20" w:type="dxa"/>
            <w:vAlign w:val="bottom"/>
            <w:tcBorders>
              <w:top w:val="single" w:sz="8" w:color="0000FF"/>
            </w:tcBorders>
            <w:gridSpan w:val="9"/>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Sarbanes-Oxley Act of 2002</w:t>
            </w:r>
          </w:p>
        </w:tc>
        <w:tc>
          <w:tcPr>
            <w:tcW w:w="100" w:type="dxa"/>
            <w:vAlign w:val="bottom"/>
            <w:tcBorders>
              <w:top w:val="single" w:sz="8" w:color="CCEEFF"/>
            </w:tcBorders>
            <w:shd w:val="clear" w:color="auto" w:fill="CCEEFF"/>
          </w:tcPr>
          <w:p>
            <w:pPr>
              <w:spacing w:after="0"/>
              <w:rPr>
                <w:sz w:val="14"/>
                <w:szCs w:val="14"/>
                <w:color w:val="auto"/>
              </w:rPr>
            </w:pPr>
          </w:p>
        </w:tc>
      </w:tr>
      <w:tr>
        <w:trPr>
          <w:trHeight w:val="270"/>
        </w:trPr>
        <w:tc>
          <w:tcPr>
            <w:tcW w:w="6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82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5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6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r>
      <w:tr>
        <w:trPr>
          <w:trHeight w:val="243"/>
        </w:trPr>
        <w:tc>
          <w:tcPr>
            <w:tcW w:w="1120" w:type="dxa"/>
            <w:vAlign w:val="bottom"/>
            <w:gridSpan w:val="7"/>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101.INS</w:t>
            </w:r>
          </w:p>
        </w:tc>
        <w:tc>
          <w:tcPr>
            <w:tcW w:w="101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Instance Document</w:t>
            </w:r>
          </w:p>
        </w:tc>
      </w:tr>
      <w:tr>
        <w:trPr>
          <w:trHeight w:val="270"/>
        </w:trPr>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1120" w:type="dxa"/>
            <w:vAlign w:val="bottom"/>
            <w:gridSpan w:val="7"/>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101.SCH</w:t>
            </w:r>
          </w:p>
        </w:tc>
        <w:tc>
          <w:tcPr>
            <w:tcW w:w="101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101.SCH XBRL Taxonomy Extension Schema.</w:t>
            </w:r>
          </w:p>
        </w:tc>
      </w:tr>
      <w:tr>
        <w:trPr>
          <w:trHeight w:val="270"/>
        </w:trPr>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1120" w:type="dxa"/>
            <w:vAlign w:val="bottom"/>
            <w:gridSpan w:val="7"/>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101.CAL</w:t>
            </w:r>
          </w:p>
        </w:tc>
        <w:tc>
          <w:tcPr>
            <w:tcW w:w="101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101.CAL XBRL Taxonomy Extension Calculation Linkbase.</w:t>
            </w:r>
          </w:p>
        </w:tc>
      </w:tr>
      <w:tr>
        <w:trPr>
          <w:trHeight w:val="270"/>
        </w:trPr>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1120" w:type="dxa"/>
            <w:vAlign w:val="bottom"/>
            <w:gridSpan w:val="7"/>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101.DEF</w:t>
            </w:r>
          </w:p>
        </w:tc>
        <w:tc>
          <w:tcPr>
            <w:tcW w:w="101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101.DEF XBRL Taxonomy Extension Definition Linkbase.</w:t>
            </w:r>
          </w:p>
        </w:tc>
      </w:tr>
      <w:tr>
        <w:trPr>
          <w:trHeight w:val="243"/>
        </w:trPr>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120" w:type="dxa"/>
            <w:vAlign w:val="bottom"/>
            <w:gridSpan w:val="7"/>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101.LAB</w:t>
            </w:r>
          </w:p>
        </w:tc>
        <w:tc>
          <w:tcPr>
            <w:tcW w:w="101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101.LAB XBRL Taxonomy Extension Label Linkbase.</w:t>
            </w:r>
          </w:p>
        </w:tc>
      </w:tr>
      <w:tr>
        <w:trPr>
          <w:trHeight w:val="270"/>
        </w:trPr>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5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1120" w:type="dxa"/>
            <w:vAlign w:val="bottom"/>
            <w:gridSpan w:val="7"/>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101.PRE</w:t>
            </w:r>
          </w:p>
        </w:tc>
        <w:tc>
          <w:tcPr>
            <w:tcW w:w="101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101.PRE XBRL Taxonomy Extension Presentation Linkbase.</w:t>
            </w:r>
          </w:p>
        </w:tc>
      </w:tr>
    </w:tbl>
    <w:p>
      <w:pPr>
        <w:spacing w:after="0" w:line="270" w:lineRule="exact"/>
        <w:rPr>
          <w:sz w:val="20"/>
          <w:szCs w:val="20"/>
          <w:color w:val="auto"/>
        </w:rPr>
      </w:pPr>
    </w:p>
    <w:p>
      <w:pPr>
        <w:ind w:left="1120" w:right="60" w:hanging="222"/>
        <w:spacing w:after="0" w:line="232" w:lineRule="auto"/>
        <w:tabs>
          <w:tab w:leader="none" w:pos="11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exhibit will not be deemed “filed” for purposes of Section 18 of the Securities Exchange Act of 1934, as amended, or otherwise subject to the liability of that section. Such exhibit shall not be deemed incorporated into any filing under the Securities Act of 1933, as amended, or the Securities Act of 1934, as amended.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SIGNATURES</w:t>
      </w:r>
    </w:p>
    <w:p>
      <w:pPr>
        <w:spacing w:after="0" w:line="223" w:lineRule="exact"/>
        <w:rPr>
          <w:sz w:val="20"/>
          <w:szCs w:val="20"/>
          <w:color w:val="auto"/>
        </w:rPr>
      </w:pPr>
    </w:p>
    <w:p>
      <w:pPr>
        <w:ind w:firstLine="648"/>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KINGSTONE COMPANIES, INC.</w:t>
            </w:r>
          </w:p>
        </w:tc>
      </w:tr>
      <w:tr>
        <w:trPr>
          <w:trHeight w:val="51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Dated: May 8, 2026</w:t>
            </w:r>
          </w:p>
        </w:tc>
        <w:tc>
          <w:tcPr>
            <w:tcW w:w="252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By:</w:t>
            </w: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Meryl Golden</w:t>
            </w:r>
          </w:p>
        </w:tc>
      </w:tr>
      <w:tr>
        <w:trPr>
          <w:trHeight w:val="33"/>
        </w:trPr>
        <w:tc>
          <w:tcPr>
            <w:tcW w:w="33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r>
      <w:tr>
        <w:trPr>
          <w:trHeight w:val="204"/>
        </w:trPr>
        <w:tc>
          <w:tcPr>
            <w:tcW w:w="33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Meryl Golden</w:t>
            </w:r>
          </w:p>
        </w:tc>
      </w:tr>
      <w:tr>
        <w:trPr>
          <w:trHeight w:val="243"/>
        </w:trPr>
        <w:tc>
          <w:tcPr>
            <w:tcW w:w="336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and Principal Executive Officer</w:t>
            </w:r>
          </w:p>
        </w:tc>
      </w:tr>
      <w:tr>
        <w:trPr>
          <w:trHeight w:val="51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Dated: May 8, 2026</w:t>
            </w:r>
          </w:p>
        </w:tc>
        <w:tc>
          <w:tcPr>
            <w:tcW w:w="252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By:</w:t>
            </w: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Randy Patten</w:t>
            </w:r>
          </w:p>
        </w:tc>
      </w:tr>
      <w:tr>
        <w:trPr>
          <w:trHeight w:val="33"/>
        </w:trPr>
        <w:tc>
          <w:tcPr>
            <w:tcW w:w="33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r>
      <w:tr>
        <w:trPr>
          <w:trHeight w:val="204"/>
        </w:trPr>
        <w:tc>
          <w:tcPr>
            <w:tcW w:w="33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Randy Patten</w:t>
            </w:r>
          </w:p>
        </w:tc>
      </w:tr>
      <w:tr>
        <w:trPr>
          <w:trHeight w:val="243"/>
        </w:trPr>
        <w:tc>
          <w:tcPr>
            <w:tcW w:w="336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Vice President, Chief Financial Officer and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19"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Meryl Golden, certify that:</w:t>
      </w:r>
    </w:p>
    <w:p>
      <w:pPr>
        <w:spacing w:after="0" w:line="225" w:lineRule="exact"/>
        <w:rPr>
          <w:sz w:val="20"/>
          <w:szCs w:val="20"/>
          <w:color w:val="auto"/>
        </w:rPr>
      </w:pPr>
    </w:p>
    <w:p>
      <w:pPr>
        <w:ind w:left="1060" w:hanging="1052"/>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Kingstone Companies, Inc.;</w:t>
      </w:r>
    </w:p>
    <w:p>
      <w:pPr>
        <w:spacing w:after="0" w:line="225" w:lineRule="exact"/>
        <w:rPr>
          <w:rFonts w:ascii="Times New Roman" w:cs="Times New Roman" w:eastAsia="Times New Roman" w:hAnsi="Times New Roman"/>
          <w:sz w:val="18"/>
          <w:szCs w:val="18"/>
          <w:color w:val="auto"/>
        </w:rPr>
      </w:pPr>
    </w:p>
    <w:p>
      <w:pPr>
        <w:ind w:left="1060" w:right="180" w:hanging="1052"/>
        <w:spacing w:after="0" w:line="266"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60" w:right="460" w:hanging="1052"/>
        <w:spacing w:after="0" w:line="312" w:lineRule="auto"/>
        <w:tabs>
          <w:tab w:leader="none" w:pos="10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060" w:right="80" w:hanging="1052"/>
        <w:spacing w:after="0" w:line="266"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140" w:hanging="1060"/>
        <w:spacing w:after="0" w:line="266" w:lineRule="auto"/>
        <w:tabs>
          <w:tab w:leader="none" w:pos="2137"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2140" w:right="40" w:hanging="1060"/>
        <w:spacing w:after="0" w:line="266" w:lineRule="auto"/>
        <w:tabs>
          <w:tab w:leader="none" w:pos="2134"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2140" w:right="120" w:hanging="1060"/>
        <w:spacing w:after="0" w:line="266" w:lineRule="auto"/>
        <w:tabs>
          <w:tab w:leader="none" w:pos="2137"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140" w:right="140" w:hanging="1060"/>
        <w:spacing w:after="0" w:line="266" w:lineRule="auto"/>
        <w:tabs>
          <w:tab w:leader="none" w:pos="2134"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60" w:right="40" w:hanging="1052"/>
        <w:spacing w:after="0" w:line="312" w:lineRule="auto"/>
        <w:tabs>
          <w:tab w:leader="none" w:pos="10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2120" w:right="400" w:hanging="1059"/>
        <w:spacing w:after="0" w:line="266" w:lineRule="auto"/>
        <w:tabs>
          <w:tab w:leader="none" w:pos="211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120" w:right="780" w:hanging="1059"/>
        <w:spacing w:after="0" w:line="282" w:lineRule="auto"/>
        <w:tabs>
          <w:tab w:leader="none" w:pos="211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8, 2026</w:t>
      </w:r>
    </w:p>
    <w:p>
      <w:pPr>
        <w:spacing w:after="0" w:line="5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Meryl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26035</wp:posOffset>
            </wp:positionV>
            <wp:extent cx="25203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4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Meryl Golden</w:t>
      </w:r>
    </w:p>
    <w:p>
      <w:pPr>
        <w:spacing w:after="0" w:line="5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43"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Randy Patten, certify that:</w:t>
      </w:r>
    </w:p>
    <w:p>
      <w:pPr>
        <w:spacing w:after="0" w:line="225" w:lineRule="exact"/>
        <w:rPr>
          <w:sz w:val="20"/>
          <w:szCs w:val="20"/>
          <w:color w:val="auto"/>
        </w:rPr>
      </w:pPr>
    </w:p>
    <w:p>
      <w:pPr>
        <w:ind w:left="1060" w:hanging="1052"/>
        <w:spacing w:after="0"/>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Kingstone Companies, Inc.;</w:t>
      </w:r>
    </w:p>
    <w:p>
      <w:pPr>
        <w:spacing w:after="0" w:line="225" w:lineRule="exact"/>
        <w:rPr>
          <w:rFonts w:ascii="Times New Roman" w:cs="Times New Roman" w:eastAsia="Times New Roman" w:hAnsi="Times New Roman"/>
          <w:sz w:val="18"/>
          <w:szCs w:val="18"/>
          <w:color w:val="auto"/>
        </w:rPr>
      </w:pPr>
    </w:p>
    <w:p>
      <w:pPr>
        <w:ind w:left="1060" w:right="180" w:hanging="1052"/>
        <w:spacing w:after="0" w:line="266" w:lineRule="auto"/>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60" w:right="460" w:hanging="1052"/>
        <w:spacing w:after="0" w:line="312" w:lineRule="auto"/>
        <w:tabs>
          <w:tab w:leader="none" w:pos="10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060" w:right="80" w:hanging="1052"/>
        <w:spacing w:after="0" w:line="266" w:lineRule="auto"/>
        <w:tabs>
          <w:tab w:leader="none" w:pos="10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2120" w:right="20" w:hanging="1059"/>
        <w:spacing w:after="0" w:line="266" w:lineRule="auto"/>
        <w:tabs>
          <w:tab w:leader="none" w:pos="211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2120" w:right="60" w:hanging="1059"/>
        <w:spacing w:after="0" w:line="266" w:lineRule="auto"/>
        <w:tabs>
          <w:tab w:leader="none" w:pos="211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2120" w:right="140" w:hanging="1059"/>
        <w:spacing w:after="0" w:line="266" w:lineRule="auto"/>
        <w:tabs>
          <w:tab w:leader="none" w:pos="211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2120" w:right="160" w:hanging="1059"/>
        <w:spacing w:after="0" w:line="266" w:lineRule="auto"/>
        <w:tabs>
          <w:tab w:leader="none" w:pos="211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60" w:right="40" w:hanging="1052"/>
        <w:spacing w:after="0" w:line="312" w:lineRule="auto"/>
        <w:tabs>
          <w:tab w:leader="none" w:pos="10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2120" w:right="400" w:hanging="1059"/>
        <w:spacing w:after="0" w:line="266" w:lineRule="auto"/>
        <w:tabs>
          <w:tab w:leader="none" w:pos="211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120" w:right="780" w:hanging="1059"/>
        <w:spacing w:after="0" w:line="282" w:lineRule="auto"/>
        <w:tabs>
          <w:tab w:leader="none" w:pos="211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8, 2026</w:t>
      </w:r>
    </w:p>
    <w:p>
      <w:pPr>
        <w:spacing w:after="0" w:line="5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Randy Patten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26035</wp:posOffset>
            </wp:positionV>
            <wp:extent cx="25203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Randy Patten</w:t>
      </w:r>
    </w:p>
    <w:p>
      <w:pPr>
        <w:ind w:left="59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43"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The undersigned hereby certify, pursuant to, and as required by, 18 U.S.C. Section 1350, as adopted pursuant to Section 906 of the Sarbanes-Oxley Act of 2002, that the Quarterly Report of Kingstone Companies, Inc. (the “Company”) on Form 10-Q for the period ended March 31, 2026 fully complies with the requirements of Section 13(a) or 15(d) of the Securities Exchange Act of 1934, as amended, and that information contained in such Quarterly Report on Form 10-Q fairly presents, in all material respects, the financial condition and results of operations of the Company.</w:t>
      </w:r>
    </w:p>
    <w:p>
      <w:pPr>
        <w:spacing w:after="0" w:line="234"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8"/>
          <w:szCs w:val="18"/>
          <w:color w:val="auto"/>
        </w:rPr>
        <w:t>Dated: May 8, 2026</w:t>
      </w:r>
      <w:r>
        <w:rPr>
          <w:sz w:val="20"/>
          <w:szCs w:val="20"/>
          <w:color w:val="auto"/>
        </w:rPr>
        <w:tab/>
      </w:r>
      <w:r>
        <w:rPr>
          <w:rFonts w:ascii="Times New Roman" w:cs="Times New Roman" w:eastAsia="Times New Roman" w:hAnsi="Times New Roman"/>
          <w:sz w:val="18"/>
          <w:szCs w:val="18"/>
          <w:color w:val="auto"/>
        </w:rPr>
        <w:t>/s/ Meryl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26035</wp:posOffset>
            </wp:positionV>
            <wp:extent cx="27260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Meryl Golden</w:t>
      </w:r>
    </w:p>
    <w:p>
      <w:pPr>
        <w:spacing w:after="0" w:line="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0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Randy Patten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26035</wp:posOffset>
            </wp:positionV>
            <wp:extent cx="27260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Randy Patten</w:t>
      </w:r>
    </w:p>
    <w:p>
      <w:pPr>
        <w:spacing w:after="0" w:line="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x"/>
      <w:numFmt w:val="bullet"/>
      <w:start w:val="1"/>
    </w:lvl>
  </w:abstractNum>
  <w:abstractNum w:abstractNumId="1">
    <w:nsid w:val="1BEFD79F"/>
    <w:multiLevelType w:val="hybridMultilevel"/>
    <w:lvl w:ilvl="0">
      <w:lvlJc w:val="left"/>
      <w:lvlText w:val="o"/>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3"/>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upperLetter"/>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2"/>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2"/>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1" Type="http://schemas.openxmlformats.org/officeDocument/2006/relationships/hyperlink" Target="https://www.sec.gov/Archives/edgar/data/33992/000135448814002619/kins_ex3a.htm" TargetMode="External"/><Relationship Id="rId92" Type="http://schemas.openxmlformats.org/officeDocument/2006/relationships/hyperlink" Target="https://www.sec.gov/Archives/edgar/data/33992/000003399225000017/exhibit3bby-lawsasamende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2026-05-08T13:00:50Z</dcterms:created>
  <dcterms:modified xsi:type="dcterms:W3CDTF">2026-05-08T13:00:50Z</dcterms:modified>
</cp:coreProperties>
</file>