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880" w:right="1640" w:hanging="3872"/>
        <w:spacing w:after="0" w:line="493"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540" w:right="1620" w:hanging="3532"/>
        <w:spacing w:after="0" w:line="500" w:lineRule="auto"/>
        <w:tabs>
          <w:tab w:leader="none" w:pos="46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_________to _________</w:t>
      </w:r>
    </w:p>
    <w:p>
      <w:pPr>
        <w:spacing w:after="0" w:line="1"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0-1665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KINGSTONE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6360" w:type="dxa"/>
            <w:vAlign w:val="bottom"/>
            <w:gridSpan w:val="5"/>
          </w:tcPr>
          <w:p>
            <w:pPr>
              <w:jc w:val="center"/>
              <w:ind w:right="2020"/>
              <w:spacing w:after="0"/>
              <w:rPr>
                <w:sz w:val="20"/>
                <w:szCs w:val="20"/>
                <w:color w:val="auto"/>
              </w:rPr>
            </w:pPr>
            <w:r>
              <w:rPr>
                <w:rFonts w:ascii="Arial" w:cs="Arial" w:eastAsia="Arial" w:hAnsi="Arial"/>
                <w:sz w:val="18"/>
                <w:szCs w:val="18"/>
                <w:b w:val="1"/>
                <w:bCs w:val="1"/>
                <w:color w:val="auto"/>
                <w:w w:val="93"/>
              </w:rPr>
              <w:t>Delaware</w:t>
            </w:r>
          </w:p>
        </w:tc>
        <w:tc>
          <w:tcPr>
            <w:tcW w:w="3180" w:type="dxa"/>
            <w:vAlign w:val="bottom"/>
          </w:tcPr>
          <w:p>
            <w:pPr>
              <w:jc w:val="center"/>
              <w:ind w:right="1030"/>
              <w:spacing w:after="0"/>
              <w:rPr>
                <w:sz w:val="20"/>
                <w:szCs w:val="20"/>
                <w:color w:val="auto"/>
              </w:rPr>
            </w:pPr>
            <w:r>
              <w:rPr>
                <w:rFonts w:ascii="Arial" w:cs="Arial" w:eastAsia="Arial" w:hAnsi="Arial"/>
                <w:sz w:val="18"/>
                <w:szCs w:val="18"/>
                <w:b w:val="1"/>
                <w:bCs w:val="1"/>
                <w:color w:val="auto"/>
                <w:w w:val="89"/>
              </w:rPr>
              <w:t>36-2476480</w:t>
            </w:r>
          </w:p>
        </w:tc>
      </w:tr>
      <w:tr>
        <w:trPr>
          <w:trHeight w:val="191"/>
        </w:trPr>
        <w:tc>
          <w:tcPr>
            <w:tcW w:w="43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(State or other jurisdiction of</w:t>
            </w:r>
          </w:p>
        </w:tc>
        <w:tc>
          <w:tcPr>
            <w:tcW w:w="9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180" w:type="dxa"/>
            <w:vAlign w:val="bottom"/>
            <w:tcBorders>
              <w:top w:val="single" w:sz="8" w:color="auto"/>
            </w:tcBorders>
          </w:tcPr>
          <w:p>
            <w:pPr>
              <w:jc w:val="center"/>
              <w:ind w:right="1030"/>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6360" w:type="dxa"/>
            <w:vAlign w:val="bottom"/>
            <w:gridSpan w:val="5"/>
          </w:tcPr>
          <w:p>
            <w:pPr>
              <w:jc w:val="center"/>
              <w:ind w:right="2060"/>
              <w:spacing w:after="0"/>
              <w:rPr>
                <w:sz w:val="20"/>
                <w:szCs w:val="20"/>
                <w:color w:val="auto"/>
              </w:rPr>
            </w:pPr>
            <w:r>
              <w:rPr>
                <w:rFonts w:ascii="Arial" w:cs="Arial" w:eastAsia="Arial" w:hAnsi="Arial"/>
                <w:sz w:val="18"/>
                <w:szCs w:val="18"/>
                <w:b w:val="1"/>
                <w:bCs w:val="1"/>
                <w:color w:val="auto"/>
                <w:w w:val="91"/>
              </w:rPr>
              <w:t>incorporation or organization)</w:t>
            </w:r>
          </w:p>
        </w:tc>
        <w:tc>
          <w:tcPr>
            <w:tcW w:w="3180" w:type="dxa"/>
            <w:vAlign w:val="bottom"/>
          </w:tcPr>
          <w:p>
            <w:pPr>
              <w:jc w:val="center"/>
              <w:ind w:right="103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4000" w:type="dxa"/>
            <w:vAlign w:val="bottom"/>
          </w:tcPr>
          <w:p>
            <w:pPr>
              <w:spacing w:after="0"/>
              <w:rPr>
                <w:sz w:val="24"/>
                <w:szCs w:val="24"/>
                <w:color w:val="auto"/>
              </w:rPr>
            </w:pPr>
          </w:p>
        </w:tc>
        <w:tc>
          <w:tcPr>
            <w:tcW w:w="236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88"/>
              </w:rPr>
              <w:t>15 Joys Lane</w:t>
            </w:r>
          </w:p>
        </w:tc>
        <w:tc>
          <w:tcPr>
            <w:tcW w:w="3180" w:type="dxa"/>
            <w:vAlign w:val="bottom"/>
          </w:tcPr>
          <w:p>
            <w:pPr>
              <w:spacing w:after="0"/>
              <w:rPr>
                <w:sz w:val="24"/>
                <w:szCs w:val="24"/>
                <w:color w:val="auto"/>
              </w:rPr>
            </w:pPr>
          </w:p>
        </w:tc>
      </w:tr>
      <w:tr>
        <w:trPr>
          <w:trHeight w:val="194"/>
        </w:trPr>
        <w:tc>
          <w:tcPr>
            <w:tcW w:w="4000" w:type="dxa"/>
            <w:vAlign w:val="bottom"/>
          </w:tcPr>
          <w:p>
            <w:pPr>
              <w:spacing w:after="0"/>
              <w:rPr>
                <w:sz w:val="16"/>
                <w:szCs w:val="16"/>
                <w:color w:val="auto"/>
              </w:rPr>
            </w:pPr>
          </w:p>
        </w:tc>
        <w:tc>
          <w:tcPr>
            <w:tcW w:w="154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91"/>
              </w:rPr>
              <w:t>Kingston, NY 12401</w:t>
            </w:r>
          </w:p>
        </w:tc>
        <w:tc>
          <w:tcPr>
            <w:tcW w:w="82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237"/>
        </w:trPr>
        <w:tc>
          <w:tcPr>
            <w:tcW w:w="6360" w:type="dxa"/>
            <w:vAlign w:val="bottom"/>
            <w:gridSpan w:val="5"/>
          </w:tcPr>
          <w:p>
            <w:pPr>
              <w:jc w:val="center"/>
              <w:ind w:left="30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(845) 802-7900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4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6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7"/>
        </w:trPr>
        <w:tc>
          <w:tcPr>
            <w:tcW w:w="4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KINS</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7"/>
        </w:trPr>
        <w:tc>
          <w:tcPr>
            <w:tcW w:w="46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80" w:type="dxa"/>
            <w:vAlign w:val="bottom"/>
          </w:tcPr>
          <w:p>
            <w:pPr>
              <w:ind w:left="88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August 15, 2022, there were 10,645,675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237490</wp:posOffset>
            </wp:positionV>
            <wp:extent cx="709803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KINGSTONE COMPANIES,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4"/>
          <w:szCs w:val="24"/>
          <w:color w:val="auto"/>
        </w:rPr>
      </w:pPr>
    </w:p>
    <w:p>
      <w:pPr>
        <w:ind w:left="10440"/>
        <w:spacing w:after="0"/>
        <w:rPr>
          <w:sz w:val="20"/>
          <w:szCs w:val="20"/>
          <w:color w:val="auto"/>
        </w:rPr>
      </w:pPr>
      <w:r>
        <w:rPr>
          <w:rFonts w:ascii="Arial" w:cs="Arial" w:eastAsia="Arial" w:hAnsi="Arial"/>
          <w:sz w:val="18"/>
          <w:szCs w:val="18"/>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6434455</wp:posOffset>
            </wp:positionH>
            <wp:positionV relativeFrom="paragraph">
              <wp:posOffset>17145</wp:posOffset>
            </wp:positionV>
            <wp:extent cx="7029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0000EE"/>
        </w:rPr>
        <w:t>PART I — FINANCIAL INFORMATION</w:t>
      </w:r>
    </w:p>
    <w:p>
      <w:pPr>
        <w:spacing w:after="0" w:line="20" w:lineRule="exact"/>
        <w:rPr>
          <w:sz w:val="24"/>
          <w:szCs w:val="24"/>
          <w:color w:val="auto"/>
        </w:rPr>
      </w:pPr>
    </w:p>
    <w:p>
      <w:pPr>
        <w:sectPr>
          <w:pgSz w:w="11900" w:h="16877" w:orient="portrait"/>
          <w:cols w:equalWidth="0" w:num="1">
            <w:col w:w="11240"/>
          </w:cols>
          <w:pgMar w:left="320" w:top="67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8"/>
                <w:szCs w:val="18"/>
                <w:color w:val="0000EE"/>
                <w:w w:val="87"/>
              </w:rPr>
              <w:t>Item 1</w:t>
            </w:r>
          </w:p>
        </w:tc>
        <w:tc>
          <w:tcPr>
            <w:tcW w:w="320" w:type="dxa"/>
            <w:vAlign w:val="bottom"/>
            <w:tcBorders>
              <w:bottom w:val="single" w:sz="8" w:color="CCEEFF"/>
            </w:tcBorders>
            <w:gridSpan w:val="3"/>
            <w:shd w:val="clear" w:color="auto" w:fill="CCEEFF"/>
          </w:tcPr>
          <w:p>
            <w:pPr>
              <w:spacing w:after="0"/>
              <w:rPr>
                <w:sz w:val="17"/>
                <w:szCs w:val="17"/>
                <w:color w:val="auto"/>
              </w:rPr>
            </w:pPr>
          </w:p>
        </w:tc>
        <w:tc>
          <w:tcPr>
            <w:tcW w:w="1520" w:type="dxa"/>
            <w:vAlign w:val="bottom"/>
            <w:tcBorders>
              <w:bottom w:val="single" w:sz="8" w:color="0000EE"/>
            </w:tcBorders>
            <w:gridSpan w:val="6"/>
            <w:shd w:val="clear" w:color="auto" w:fill="CCEEFF"/>
          </w:tcPr>
          <w:p>
            <w:pPr>
              <w:spacing w:after="0"/>
              <w:rPr>
                <w:sz w:val="20"/>
                <w:szCs w:val="20"/>
                <w:color w:val="auto"/>
              </w:rPr>
            </w:pPr>
            <w:r>
              <w:rPr>
                <w:rFonts w:ascii="Arial" w:cs="Arial" w:eastAsia="Arial" w:hAnsi="Arial"/>
                <w:sz w:val="18"/>
                <w:szCs w:val="18"/>
                <w:color w:val="0000EE"/>
                <w:w w:val="89"/>
              </w:rPr>
              <w:t>Financial Statements</w:t>
            </w:r>
          </w:p>
        </w:tc>
        <w:tc>
          <w:tcPr>
            <w:tcW w:w="7880" w:type="dxa"/>
            <w:vAlign w:val="bottom"/>
            <w:tcBorders>
              <w:bottom w:val="single" w:sz="8" w:color="CCEEFF"/>
            </w:tcBorders>
            <w:gridSpan w:val="13"/>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17"/>
        </w:trPr>
        <w:tc>
          <w:tcPr>
            <w:tcW w:w="2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color w:val="0000EE"/>
              </w:rPr>
              <w:t>—</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75"/>
        </w:trPr>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9400" w:type="dxa"/>
            <w:vAlign w:val="bottom"/>
            <w:tcBorders>
              <w:top w:val="single" w:sz="8" w:color="CCEEFF"/>
            </w:tcBorders>
            <w:gridSpan w:val="19"/>
          </w:tcPr>
          <w:p>
            <w:pPr>
              <w:spacing w:after="0" w:line="176" w:lineRule="exact"/>
              <w:rPr>
                <w:sz w:val="20"/>
                <w:szCs w:val="20"/>
                <w:color w:val="auto"/>
              </w:rPr>
            </w:pPr>
            <w:r>
              <w:rPr>
                <w:rFonts w:ascii="Arial" w:cs="Arial" w:eastAsia="Arial" w:hAnsi="Arial"/>
                <w:sz w:val="18"/>
                <w:szCs w:val="18"/>
                <w:color w:val="0000EE"/>
              </w:rPr>
              <w:t>Condensed Consolidated Balance Sheets at June 30, 2022 (Unaudited) and December 31, 2021</w:t>
            </w:r>
          </w:p>
        </w:tc>
        <w:tc>
          <w:tcPr>
            <w:tcW w:w="840" w:type="dxa"/>
            <w:vAlign w:val="bottom"/>
            <w:tcBorders>
              <w:top w:val="single" w:sz="8" w:color="CCEEFF"/>
            </w:tcBorders>
          </w:tcPr>
          <w:p>
            <w:pPr>
              <w:jc w:val="right"/>
              <w:ind w:right="10"/>
              <w:spacing w:after="0" w:line="176" w:lineRule="exact"/>
              <w:rPr>
                <w:sz w:val="20"/>
                <w:szCs w:val="20"/>
                <w:color w:val="auto"/>
              </w:rPr>
            </w:pPr>
            <w:r>
              <w:rPr>
                <w:rFonts w:ascii="Arial" w:cs="Arial" w:eastAsia="Arial" w:hAnsi="Arial"/>
                <w:sz w:val="18"/>
                <w:szCs w:val="18"/>
                <w:color w:val="auto"/>
              </w:rPr>
              <w:t>4</w:t>
            </w:r>
          </w:p>
        </w:tc>
      </w:tr>
      <w:tr>
        <w:trPr>
          <w:trHeight w:val="21"/>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4"/>
              </w:rPr>
              <w:t>Condensed Consolidated Statements of Operations and Comprehensive (Loss) Income for the three months and six months</w:t>
            </w:r>
          </w:p>
        </w:tc>
        <w:tc>
          <w:tcPr>
            <w:tcW w:w="840" w:type="dxa"/>
            <w:vAlign w:val="bottom"/>
            <w:shd w:val="clear" w:color="auto" w:fill="CCEEFF"/>
          </w:tcPr>
          <w:p>
            <w:pPr>
              <w:spacing w:after="0"/>
              <w:rPr>
                <w:sz w:val="15"/>
                <w:szCs w:val="15"/>
                <w:color w:val="auto"/>
              </w:rPr>
            </w:pPr>
          </w:p>
        </w:tc>
      </w:tr>
      <w:tr>
        <w:trPr>
          <w:trHeight w:val="196"/>
        </w:trPr>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860" w:type="dxa"/>
            <w:vAlign w:val="bottom"/>
            <w:tcBorders>
              <w:top w:val="single" w:sz="8" w:color="0000EE"/>
            </w:tcBorders>
            <w:gridSpan w:val="18"/>
            <w:shd w:val="clear" w:color="auto" w:fill="CCEEFF"/>
          </w:tcPr>
          <w:p>
            <w:pPr>
              <w:spacing w:after="0" w:line="196" w:lineRule="exact"/>
              <w:rPr>
                <w:sz w:val="20"/>
                <w:szCs w:val="20"/>
                <w:color w:val="auto"/>
              </w:rPr>
            </w:pPr>
            <w:r>
              <w:rPr>
                <w:rFonts w:ascii="Arial" w:cs="Arial" w:eastAsia="Arial" w:hAnsi="Arial"/>
                <w:sz w:val="18"/>
                <w:szCs w:val="18"/>
                <w:color w:val="0000EE"/>
              </w:rPr>
              <w:t>ended June 30, 2022 (Unaudited) and 2021 (Unaudited)</w:t>
            </w:r>
          </w:p>
        </w:tc>
        <w:tc>
          <w:tcPr>
            <w:tcW w:w="5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560" w:type="dxa"/>
            <w:vAlign w:val="bottom"/>
            <w:tcBorders>
              <w:bottom w:val="single" w:sz="8" w:color="0000EE"/>
            </w:tcBorders>
            <w:gridSpan w:val="17"/>
          </w:tcPr>
          <w:p>
            <w:pPr>
              <w:spacing w:after="0" w:line="176" w:lineRule="exact"/>
              <w:rPr>
                <w:sz w:val="20"/>
                <w:szCs w:val="20"/>
                <w:color w:val="auto"/>
              </w:rPr>
            </w:pPr>
            <w:r>
              <w:rPr>
                <w:rFonts w:ascii="Arial" w:cs="Arial" w:eastAsia="Arial" w:hAnsi="Arial"/>
                <w:sz w:val="18"/>
                <w:szCs w:val="18"/>
                <w:color w:val="0000EE"/>
                <w:w w:val="89"/>
              </w:rPr>
              <w:t>Condensed Consolidated Statements of Stockholders’ Equity for the three months and six months ended June 30, 2022</w:t>
            </w:r>
          </w:p>
        </w:tc>
        <w:tc>
          <w:tcPr>
            <w:tcW w:w="84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r>
      <w:tr>
        <w:trPr>
          <w:trHeight w:val="196"/>
        </w:trPr>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0" w:type="dxa"/>
            <w:vAlign w:val="bottom"/>
            <w:gridSpan w:val="19"/>
          </w:tcPr>
          <w:p>
            <w:pPr>
              <w:spacing w:after="0" w:line="196" w:lineRule="exact"/>
              <w:rPr>
                <w:sz w:val="20"/>
                <w:szCs w:val="20"/>
                <w:color w:val="auto"/>
              </w:rPr>
            </w:pPr>
            <w:r>
              <w:rPr>
                <w:rFonts w:ascii="Arial" w:cs="Arial" w:eastAsia="Arial" w:hAnsi="Arial"/>
                <w:sz w:val="18"/>
                <w:szCs w:val="18"/>
                <w:color w:val="0000EE"/>
              </w:rPr>
              <w:t>(Unaudited) and 2021 (Unaudited)</w:t>
            </w:r>
          </w:p>
        </w:tc>
        <w:tc>
          <w:tcPr>
            <w:tcW w:w="8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w:t>
            </w:r>
          </w:p>
        </w:tc>
      </w:tr>
      <w:tr>
        <w:trPr>
          <w:trHeight w:val="21"/>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5"/>
        </w:trPr>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20" w:type="dxa"/>
            <w:vAlign w:val="bottom"/>
            <w:tcBorders>
              <w:bottom w:val="single" w:sz="8" w:color="0000EE"/>
            </w:tcBorders>
            <w:gridSpan w:val="16"/>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Cash Flows for the six months ended June 30, 2022 (Unaudited) and 2021</w:t>
            </w:r>
          </w:p>
        </w:tc>
        <w:tc>
          <w:tcPr>
            <w:tcW w:w="1180" w:type="dxa"/>
            <w:vAlign w:val="bottom"/>
            <w:tcBorders>
              <w:bottom w:val="single" w:sz="8" w:color="CCEEFF"/>
            </w:tcBorders>
            <w:gridSpan w:val="3"/>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r>
      <w:tr>
        <w:trPr>
          <w:trHeight w:val="217"/>
        </w:trPr>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w w:val="91"/>
              </w:rPr>
              <w:t>(Unaudited)</w:t>
            </w:r>
          </w:p>
        </w:tc>
        <w:tc>
          <w:tcPr>
            <w:tcW w:w="8520" w:type="dxa"/>
            <w:vAlign w:val="bottom"/>
            <w:tcBorders>
              <w:bottom w:val="single" w:sz="8" w:color="CCEEFF"/>
            </w:tcBorders>
            <w:gridSpan w:val="17"/>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w:t>
            </w:r>
          </w:p>
        </w:tc>
      </w:tr>
      <w:tr>
        <w:trPr>
          <w:trHeight w:val="176"/>
        </w:trPr>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0" w:type="dxa"/>
            <w:vAlign w:val="bottom"/>
            <w:gridSpan w:val="19"/>
          </w:tcPr>
          <w:p>
            <w:pPr>
              <w:spacing w:after="0" w:line="176" w:lineRule="exact"/>
              <w:rPr>
                <w:sz w:val="20"/>
                <w:szCs w:val="20"/>
                <w:color w:val="auto"/>
              </w:rPr>
            </w:pPr>
            <w:r>
              <w:rPr>
                <w:rFonts w:ascii="Arial" w:cs="Arial" w:eastAsia="Arial" w:hAnsi="Arial"/>
                <w:sz w:val="18"/>
                <w:szCs w:val="18"/>
                <w:color w:val="0000EE"/>
              </w:rPr>
              <w:t>Notes to Condensed Consolidated Financial Statements (Unaudited)</w:t>
            </w:r>
          </w:p>
        </w:tc>
        <w:tc>
          <w:tcPr>
            <w:tcW w:w="8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9</w:t>
            </w:r>
          </w:p>
        </w:tc>
      </w:tr>
      <w:tr>
        <w:trPr>
          <w:trHeight w:val="20"/>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w w:val="87"/>
              </w:rPr>
              <w:t>Item 2</w:t>
            </w:r>
          </w:p>
        </w:tc>
        <w:tc>
          <w:tcPr>
            <w:tcW w:w="320" w:type="dxa"/>
            <w:vAlign w:val="bottom"/>
            <w:gridSpan w:val="3"/>
            <w:shd w:val="clear" w:color="auto" w:fill="CCEEFF"/>
          </w:tcPr>
          <w:p>
            <w:pPr>
              <w:spacing w:after="0"/>
              <w:rPr>
                <w:sz w:val="15"/>
                <w:szCs w:val="15"/>
                <w:color w:val="auto"/>
              </w:rPr>
            </w:pPr>
          </w:p>
        </w:tc>
        <w:tc>
          <w:tcPr>
            <w:tcW w:w="94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840" w:type="dxa"/>
            <w:vAlign w:val="bottom"/>
            <w:shd w:val="clear" w:color="auto" w:fill="CCEEFF"/>
          </w:tcPr>
          <w:p>
            <w:pPr>
              <w:spacing w:after="0"/>
              <w:rPr>
                <w:sz w:val="15"/>
                <w:szCs w:val="15"/>
                <w:color w:val="auto"/>
              </w:rPr>
            </w:pPr>
          </w:p>
        </w:tc>
      </w:tr>
      <w:tr>
        <w:trPr>
          <w:trHeight w:val="217"/>
        </w:trPr>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88"/>
              </w:rPr>
              <w:t>—</w:t>
            </w:r>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600" w:type="dxa"/>
            <w:vAlign w:val="bottom"/>
            <w:tcBorders>
              <w:top w:val="single" w:sz="8" w:color="0000EE"/>
              <w:bottom w:val="single" w:sz="8" w:color="CCEEFF"/>
            </w:tcBorders>
            <w:shd w:val="clear" w:color="auto" w:fill="CCEEFF"/>
          </w:tcPr>
          <w:p>
            <w:pPr>
              <w:spacing w:after="0"/>
              <w:rPr>
                <w:sz w:val="18"/>
                <w:szCs w:val="18"/>
                <w:color w:val="auto"/>
              </w:rPr>
            </w:pPr>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380" w:type="dxa"/>
            <w:vAlign w:val="bottom"/>
            <w:tcBorders>
              <w:top w:val="single" w:sz="8" w:color="0000EE"/>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1520" w:type="dxa"/>
            <w:vAlign w:val="bottom"/>
            <w:tcBorders>
              <w:top w:val="single" w:sz="8" w:color="0000EE"/>
              <w:bottom w:val="single" w:sz="8" w:color="CCEEFF"/>
            </w:tcBorders>
            <w:shd w:val="clear" w:color="auto" w:fill="CCEEFF"/>
          </w:tcPr>
          <w:p>
            <w:pPr>
              <w:spacing w:after="0"/>
              <w:rPr>
                <w:sz w:val="18"/>
                <w:szCs w:val="18"/>
                <w:color w:val="auto"/>
              </w:rPr>
            </w:pPr>
          </w:p>
        </w:tc>
        <w:tc>
          <w:tcPr>
            <w:tcW w:w="340" w:type="dxa"/>
            <w:vAlign w:val="bottom"/>
            <w:tcBorders>
              <w:top w:val="single" w:sz="8" w:color="0000EE"/>
              <w:bottom w:val="single" w:sz="8" w:color="CCEEFF"/>
            </w:tcBorders>
            <w:shd w:val="clear" w:color="auto" w:fill="CCEEFF"/>
          </w:tcPr>
          <w:p>
            <w:pPr>
              <w:spacing w:after="0"/>
              <w:rPr>
                <w:sz w:val="18"/>
                <w:szCs w:val="18"/>
                <w:color w:val="auto"/>
              </w:rPr>
            </w:pPr>
          </w:p>
        </w:tc>
        <w:tc>
          <w:tcPr>
            <w:tcW w:w="560" w:type="dxa"/>
            <w:vAlign w:val="bottom"/>
            <w:tcBorders>
              <w:top w:val="single" w:sz="8" w:color="0000EE"/>
              <w:bottom w:val="single" w:sz="8" w:color="CCEEFF"/>
            </w:tcBorders>
            <w:shd w:val="clear" w:color="auto" w:fill="CCEEFF"/>
          </w:tcPr>
          <w:p>
            <w:pPr>
              <w:spacing w:after="0"/>
              <w:rPr>
                <w:sz w:val="18"/>
                <w:szCs w:val="18"/>
                <w:color w:val="auto"/>
              </w:rPr>
            </w:pPr>
          </w:p>
        </w:tc>
        <w:tc>
          <w:tcPr>
            <w:tcW w:w="1540" w:type="dxa"/>
            <w:vAlign w:val="bottom"/>
            <w:tcBorders>
              <w:top w:val="single" w:sz="8" w:color="0000EE"/>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43</w:t>
            </w:r>
          </w:p>
        </w:tc>
      </w:tr>
      <w:tr>
        <w:trPr>
          <w:trHeight w:val="175"/>
        </w:trPr>
        <w:tc>
          <w:tcPr>
            <w:tcW w:w="220" w:type="dxa"/>
            <w:vAlign w:val="bottom"/>
          </w:tcPr>
          <w:p>
            <w:pPr>
              <w:spacing w:after="0"/>
              <w:rPr>
                <w:sz w:val="15"/>
                <w:szCs w:val="15"/>
                <w:color w:val="auto"/>
              </w:rPr>
            </w:pPr>
          </w:p>
        </w:tc>
        <w:tc>
          <w:tcPr>
            <w:tcW w:w="460" w:type="dxa"/>
            <w:vAlign w:val="bottom"/>
            <w:gridSpan w:val="2"/>
          </w:tcPr>
          <w:p>
            <w:pPr>
              <w:spacing w:after="0" w:line="176" w:lineRule="exact"/>
              <w:rPr>
                <w:sz w:val="20"/>
                <w:szCs w:val="20"/>
                <w:color w:val="auto"/>
              </w:rPr>
            </w:pPr>
            <w:r>
              <w:rPr>
                <w:rFonts w:ascii="Arial" w:cs="Arial" w:eastAsia="Arial" w:hAnsi="Arial"/>
                <w:sz w:val="18"/>
                <w:szCs w:val="18"/>
                <w:color w:val="0000EE"/>
                <w:w w:val="87"/>
              </w:rPr>
              <w:t>Item 3</w:t>
            </w:r>
          </w:p>
        </w:tc>
        <w:tc>
          <w:tcPr>
            <w:tcW w:w="320" w:type="dxa"/>
            <w:vAlign w:val="bottom"/>
            <w:gridSpan w:val="3"/>
          </w:tcPr>
          <w:p>
            <w:pPr>
              <w:spacing w:after="0"/>
              <w:rPr>
                <w:sz w:val="15"/>
                <w:szCs w:val="15"/>
                <w:color w:val="auto"/>
              </w:rPr>
            </w:pPr>
          </w:p>
        </w:tc>
        <w:tc>
          <w:tcPr>
            <w:tcW w:w="9400" w:type="dxa"/>
            <w:vAlign w:val="bottom"/>
            <w:gridSpan w:val="19"/>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840" w:type="dxa"/>
            <w:vAlign w:val="bottom"/>
          </w:tcPr>
          <w:p>
            <w:pPr>
              <w:spacing w:after="0"/>
              <w:rPr>
                <w:sz w:val="15"/>
                <w:szCs w:val="15"/>
                <w:color w:val="auto"/>
              </w:rPr>
            </w:pPr>
          </w:p>
        </w:tc>
      </w:tr>
      <w:tr>
        <w:trPr>
          <w:trHeight w:val="196"/>
        </w:trPr>
        <w:tc>
          <w:tcPr>
            <w:tcW w:w="220" w:type="dxa"/>
            <w:vAlign w:val="bottom"/>
          </w:tcPr>
          <w:p>
            <w:pPr>
              <w:spacing w:after="0"/>
              <w:rPr>
                <w:sz w:val="17"/>
                <w:szCs w:val="17"/>
                <w:color w:val="auto"/>
              </w:rPr>
            </w:pPr>
          </w:p>
        </w:tc>
        <w:tc>
          <w:tcPr>
            <w:tcW w:w="46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w:t>
            </w:r>
          </w:p>
        </w:tc>
        <w:tc>
          <w:tcPr>
            <w:tcW w:w="320" w:type="dxa"/>
            <w:vAlign w:val="bottom"/>
            <w:gridSpan w:val="3"/>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76</w:t>
            </w:r>
          </w:p>
        </w:tc>
      </w:tr>
      <w:tr>
        <w:trPr>
          <w:trHeight w:val="21"/>
        </w:trPr>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5"/>
        </w:trPr>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87"/>
              </w:rPr>
              <w:t>Item 4</w:t>
            </w:r>
          </w:p>
        </w:tc>
        <w:tc>
          <w:tcPr>
            <w:tcW w:w="320" w:type="dxa"/>
            <w:vAlign w:val="bottom"/>
            <w:tcBorders>
              <w:bottom w:val="single" w:sz="8" w:color="CCEEFF"/>
            </w:tcBorders>
            <w:gridSpan w:val="3"/>
            <w:shd w:val="clear" w:color="auto" w:fill="CCEEFF"/>
          </w:tcPr>
          <w:p>
            <w:pPr>
              <w:spacing w:after="0"/>
              <w:rPr>
                <w:sz w:val="15"/>
                <w:szCs w:val="15"/>
                <w:color w:val="auto"/>
              </w:rPr>
            </w:pPr>
          </w:p>
        </w:tc>
        <w:tc>
          <w:tcPr>
            <w:tcW w:w="178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88"/>
              </w:rPr>
              <w:t>Controls and Procedures</w:t>
            </w:r>
          </w:p>
        </w:tc>
        <w:tc>
          <w:tcPr>
            <w:tcW w:w="7620" w:type="dxa"/>
            <w:vAlign w:val="bottom"/>
            <w:tcBorders>
              <w:bottom w:val="single" w:sz="8" w:color="CCEEFF"/>
            </w:tcBorders>
            <w:gridSpan w:val="12"/>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r>
      <w:tr>
        <w:trPr>
          <w:trHeight w:val="217"/>
        </w:trPr>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88"/>
              </w:rPr>
              <w:t>—</w:t>
            </w:r>
          </w:p>
        </w:tc>
        <w:tc>
          <w:tcPr>
            <w:tcW w:w="600" w:type="dxa"/>
            <w:vAlign w:val="bottom"/>
            <w:tcBorders>
              <w:bottom w:val="single" w:sz="8" w:color="CCEEFF"/>
            </w:tcBorders>
            <w:gridSpan w:val="4"/>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76</w:t>
            </w:r>
          </w:p>
        </w:tc>
      </w:tr>
      <w:tr>
        <w:trPr>
          <w:trHeight w:val="392"/>
        </w:trPr>
        <w:tc>
          <w:tcPr>
            <w:tcW w:w="10400" w:type="dxa"/>
            <w:vAlign w:val="bottom"/>
            <w:gridSpan w:val="25"/>
          </w:tcPr>
          <w:p>
            <w:pPr>
              <w:spacing w:after="0"/>
              <w:rPr>
                <w:sz w:val="20"/>
                <w:szCs w:val="20"/>
                <w:color w:val="auto"/>
              </w:rPr>
            </w:pPr>
            <w:r>
              <w:rPr>
                <w:rFonts w:ascii="Arial" w:cs="Arial" w:eastAsia="Arial" w:hAnsi="Arial"/>
                <w:sz w:val="18"/>
                <w:szCs w:val="18"/>
                <w:b w:val="1"/>
                <w:bCs w:val="1"/>
                <w:color w:val="0000EE"/>
              </w:rPr>
              <w:t>PART II — OTHER INFORMATION</w:t>
            </w:r>
          </w:p>
        </w:tc>
        <w:tc>
          <w:tcPr>
            <w:tcW w:w="840" w:type="dxa"/>
            <w:vAlign w:val="bottom"/>
          </w:tcPr>
          <w:p>
            <w:pPr>
              <w:spacing w:after="0"/>
              <w:rPr>
                <w:sz w:val="24"/>
                <w:szCs w:val="24"/>
                <w:color w:val="auto"/>
              </w:rPr>
            </w:pPr>
          </w:p>
        </w:tc>
      </w:tr>
      <w:tr>
        <w:trPr>
          <w:trHeight w:val="21"/>
        </w:trPr>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w w:val="87"/>
              </w:rPr>
              <w:t>Item 1</w:t>
            </w:r>
          </w:p>
        </w:tc>
        <w:tc>
          <w:tcPr>
            <w:tcW w:w="320" w:type="dxa"/>
            <w:vAlign w:val="bottom"/>
            <w:gridSpan w:val="3"/>
            <w:shd w:val="clear" w:color="auto" w:fill="CCEEFF"/>
          </w:tcPr>
          <w:p>
            <w:pPr>
              <w:spacing w:after="0"/>
              <w:rPr>
                <w:sz w:val="15"/>
                <w:szCs w:val="15"/>
                <w:color w:val="auto"/>
              </w:rPr>
            </w:pPr>
          </w:p>
        </w:tc>
        <w:tc>
          <w:tcPr>
            <w:tcW w:w="94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84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77</w:t>
            </w:r>
          </w:p>
        </w:tc>
      </w:tr>
      <w:tr>
        <w:trPr>
          <w:trHeight w:val="217"/>
        </w:trPr>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88"/>
              </w:rPr>
              <w:t>—</w:t>
            </w:r>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600" w:type="dxa"/>
            <w:vAlign w:val="bottom"/>
            <w:tcBorders>
              <w:top w:val="single" w:sz="8" w:color="0000EE"/>
              <w:bottom w:val="single" w:sz="8" w:color="CCEEFF"/>
            </w:tcBorders>
            <w:shd w:val="clear" w:color="auto" w:fill="CCEEFF"/>
          </w:tcPr>
          <w:p>
            <w:pPr>
              <w:spacing w:after="0"/>
              <w:rPr>
                <w:sz w:val="18"/>
                <w:szCs w:val="18"/>
                <w:color w:val="auto"/>
              </w:rPr>
            </w:pPr>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220" w:type="dxa"/>
            <w:vAlign w:val="bottom"/>
          </w:tcPr>
          <w:p>
            <w:pPr>
              <w:spacing w:after="0"/>
              <w:rPr>
                <w:sz w:val="15"/>
                <w:szCs w:val="15"/>
                <w:color w:val="auto"/>
              </w:rPr>
            </w:pPr>
          </w:p>
        </w:tc>
        <w:tc>
          <w:tcPr>
            <w:tcW w:w="780" w:type="dxa"/>
            <w:vAlign w:val="bottom"/>
            <w:gridSpan w:val="5"/>
          </w:tcPr>
          <w:p>
            <w:pPr>
              <w:spacing w:after="0" w:line="176" w:lineRule="exact"/>
              <w:rPr>
                <w:sz w:val="20"/>
                <w:szCs w:val="20"/>
                <w:color w:val="auto"/>
              </w:rPr>
            </w:pPr>
            <w:r>
              <w:rPr>
                <w:rFonts w:ascii="Arial" w:cs="Arial" w:eastAsia="Arial" w:hAnsi="Arial"/>
                <w:sz w:val="18"/>
                <w:szCs w:val="18"/>
                <w:color w:val="0000EE"/>
              </w:rPr>
              <w:t>Item 1A</w:t>
            </w:r>
          </w:p>
        </w:tc>
        <w:tc>
          <w:tcPr>
            <w:tcW w:w="9400" w:type="dxa"/>
            <w:vAlign w:val="bottom"/>
            <w:gridSpan w:val="19"/>
          </w:tcPr>
          <w:p>
            <w:pPr>
              <w:spacing w:after="0" w:line="176" w:lineRule="exact"/>
              <w:rPr>
                <w:sz w:val="20"/>
                <w:szCs w:val="20"/>
                <w:color w:val="auto"/>
              </w:rPr>
            </w:pPr>
            <w:r>
              <w:rPr>
                <w:rFonts w:ascii="Arial" w:cs="Arial" w:eastAsia="Arial" w:hAnsi="Arial"/>
                <w:sz w:val="18"/>
                <w:szCs w:val="18"/>
                <w:color w:val="0000EE"/>
              </w:rPr>
              <w:t>Risk Factors</w:t>
            </w:r>
          </w:p>
        </w:tc>
        <w:tc>
          <w:tcPr>
            <w:tcW w:w="8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77</w:t>
            </w:r>
          </w:p>
        </w:tc>
      </w:tr>
      <w:tr>
        <w:trPr>
          <w:trHeight w:val="196"/>
        </w:trPr>
        <w:tc>
          <w:tcPr>
            <w:tcW w:w="220" w:type="dxa"/>
            <w:vAlign w:val="bottom"/>
          </w:tcPr>
          <w:p>
            <w:pPr>
              <w:spacing w:after="0"/>
              <w:rPr>
                <w:sz w:val="17"/>
                <w:szCs w:val="17"/>
                <w:color w:val="auto"/>
              </w:rPr>
            </w:pPr>
          </w:p>
        </w:tc>
        <w:tc>
          <w:tcPr>
            <w:tcW w:w="58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w:t>
            </w:r>
          </w:p>
        </w:tc>
        <w:tc>
          <w:tcPr>
            <w:tcW w:w="20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6"/>
        </w:trPr>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87"/>
              </w:rPr>
              <w:t>Item 2</w:t>
            </w:r>
          </w:p>
        </w:tc>
        <w:tc>
          <w:tcPr>
            <w:tcW w:w="320" w:type="dxa"/>
            <w:vAlign w:val="bottom"/>
            <w:tcBorders>
              <w:bottom w:val="single" w:sz="8" w:color="CCEEFF"/>
            </w:tcBorders>
            <w:gridSpan w:val="3"/>
            <w:shd w:val="clear" w:color="auto" w:fill="CCEEFF"/>
          </w:tcPr>
          <w:p>
            <w:pPr>
              <w:spacing w:after="0"/>
              <w:rPr>
                <w:sz w:val="15"/>
                <w:szCs w:val="15"/>
                <w:color w:val="auto"/>
              </w:rPr>
            </w:pPr>
          </w:p>
        </w:tc>
        <w:tc>
          <w:tcPr>
            <w:tcW w:w="436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89"/>
              </w:rPr>
              <w:t>Unregistered Sales of Equity Securities and Use of Proceeds</w:t>
            </w:r>
          </w:p>
        </w:tc>
        <w:tc>
          <w:tcPr>
            <w:tcW w:w="5040" w:type="dxa"/>
            <w:vAlign w:val="bottom"/>
            <w:tcBorders>
              <w:bottom w:val="single" w:sz="8" w:color="CCEEFF"/>
            </w:tcBorders>
            <w:gridSpan w:val="7"/>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77</w:t>
            </w:r>
          </w:p>
        </w:tc>
      </w:tr>
      <w:tr>
        <w:trPr>
          <w:trHeight w:val="217"/>
        </w:trPr>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88"/>
              </w:rPr>
              <w:t>—</w:t>
            </w:r>
          </w:p>
        </w:tc>
        <w:tc>
          <w:tcPr>
            <w:tcW w:w="600" w:type="dxa"/>
            <w:vAlign w:val="bottom"/>
            <w:tcBorders>
              <w:bottom w:val="single" w:sz="8" w:color="CCEEFF"/>
            </w:tcBorders>
            <w:gridSpan w:val="4"/>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175"/>
        </w:trPr>
        <w:tc>
          <w:tcPr>
            <w:tcW w:w="220" w:type="dxa"/>
            <w:vAlign w:val="bottom"/>
          </w:tcPr>
          <w:p>
            <w:pPr>
              <w:spacing w:after="0"/>
              <w:rPr>
                <w:sz w:val="15"/>
                <w:szCs w:val="15"/>
                <w:color w:val="auto"/>
              </w:rPr>
            </w:pPr>
          </w:p>
        </w:tc>
        <w:tc>
          <w:tcPr>
            <w:tcW w:w="460" w:type="dxa"/>
            <w:vAlign w:val="bottom"/>
            <w:tcBorders>
              <w:bottom w:val="single" w:sz="8" w:color="0000EE"/>
            </w:tcBorders>
            <w:gridSpan w:val="2"/>
          </w:tcPr>
          <w:p>
            <w:pPr>
              <w:spacing w:after="0" w:line="176" w:lineRule="exact"/>
              <w:rPr>
                <w:sz w:val="20"/>
                <w:szCs w:val="20"/>
                <w:color w:val="auto"/>
              </w:rPr>
            </w:pPr>
            <w:r>
              <w:rPr>
                <w:rFonts w:ascii="Arial" w:cs="Arial" w:eastAsia="Arial" w:hAnsi="Arial"/>
                <w:sz w:val="18"/>
                <w:szCs w:val="18"/>
                <w:color w:val="0000EE"/>
                <w:w w:val="87"/>
              </w:rPr>
              <w:t>Item 3</w:t>
            </w:r>
          </w:p>
        </w:tc>
        <w:tc>
          <w:tcPr>
            <w:tcW w:w="320" w:type="dxa"/>
            <w:vAlign w:val="bottom"/>
            <w:gridSpan w:val="3"/>
          </w:tcPr>
          <w:p>
            <w:pPr>
              <w:spacing w:after="0"/>
              <w:rPr>
                <w:sz w:val="15"/>
                <w:szCs w:val="15"/>
                <w:color w:val="auto"/>
              </w:rPr>
            </w:pPr>
          </w:p>
        </w:tc>
        <w:tc>
          <w:tcPr>
            <w:tcW w:w="2340" w:type="dxa"/>
            <w:vAlign w:val="bottom"/>
            <w:tcBorders>
              <w:bottom w:val="single" w:sz="8" w:color="0000EE"/>
            </w:tcBorders>
            <w:gridSpan w:val="9"/>
          </w:tcPr>
          <w:p>
            <w:pPr>
              <w:spacing w:after="0" w:line="176" w:lineRule="exact"/>
              <w:rPr>
                <w:sz w:val="20"/>
                <w:szCs w:val="20"/>
                <w:color w:val="auto"/>
              </w:rPr>
            </w:pPr>
            <w:r>
              <w:rPr>
                <w:rFonts w:ascii="Arial" w:cs="Arial" w:eastAsia="Arial" w:hAnsi="Arial"/>
                <w:sz w:val="18"/>
                <w:szCs w:val="18"/>
                <w:color w:val="0000EE"/>
                <w:w w:val="90"/>
              </w:rPr>
              <w:t>Defaults Upon Senior Securities</w:t>
            </w:r>
          </w:p>
        </w:tc>
        <w:tc>
          <w:tcPr>
            <w:tcW w:w="7060" w:type="dxa"/>
            <w:vAlign w:val="bottom"/>
            <w:gridSpan w:val="10"/>
          </w:tcPr>
          <w:p>
            <w:pPr>
              <w:spacing w:after="0"/>
              <w:rPr>
                <w:sz w:val="15"/>
                <w:szCs w:val="15"/>
                <w:color w:val="auto"/>
              </w:rPr>
            </w:pPr>
          </w:p>
        </w:tc>
        <w:tc>
          <w:tcPr>
            <w:tcW w:w="8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77</w:t>
            </w:r>
          </w:p>
        </w:tc>
      </w:tr>
      <w:tr>
        <w:trPr>
          <w:trHeight w:val="196"/>
        </w:trPr>
        <w:tc>
          <w:tcPr>
            <w:tcW w:w="220" w:type="dxa"/>
            <w:vAlign w:val="bottom"/>
          </w:tcPr>
          <w:p>
            <w:pPr>
              <w:spacing w:after="0"/>
              <w:rPr>
                <w:sz w:val="17"/>
                <w:szCs w:val="17"/>
                <w:color w:val="auto"/>
              </w:rPr>
            </w:pPr>
          </w:p>
        </w:tc>
        <w:tc>
          <w:tcPr>
            <w:tcW w:w="780" w:type="dxa"/>
            <w:vAlign w:val="bottom"/>
            <w:gridSpan w:val="5"/>
          </w:tcPr>
          <w:p>
            <w:pPr>
              <w:spacing w:after="0" w:line="196" w:lineRule="exact"/>
              <w:rPr>
                <w:sz w:val="20"/>
                <w:szCs w:val="20"/>
                <w:color w:val="auto"/>
              </w:rPr>
            </w:pPr>
            <w:r>
              <w:rPr>
                <w:rFonts w:ascii="Arial" w:cs="Arial" w:eastAsia="Arial" w:hAnsi="Arial"/>
                <w:sz w:val="18"/>
                <w:szCs w:val="18"/>
                <w:color w:val="0000EE"/>
              </w:rPr>
              <w:t>—</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
        </w:trPr>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6"/>
        </w:trPr>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87"/>
              </w:rPr>
              <w:t>Item 4</w:t>
            </w:r>
          </w:p>
        </w:tc>
        <w:tc>
          <w:tcPr>
            <w:tcW w:w="320" w:type="dxa"/>
            <w:vAlign w:val="bottom"/>
            <w:tcBorders>
              <w:bottom w:val="single" w:sz="8" w:color="CCEEFF"/>
            </w:tcBorders>
            <w:gridSpan w:val="3"/>
            <w:shd w:val="clear" w:color="auto" w:fill="CCEEFF"/>
          </w:tcPr>
          <w:p>
            <w:pPr>
              <w:spacing w:after="0"/>
              <w:rPr>
                <w:sz w:val="15"/>
                <w:szCs w:val="15"/>
                <w:color w:val="auto"/>
              </w:rPr>
            </w:pPr>
          </w:p>
        </w:tc>
        <w:tc>
          <w:tcPr>
            <w:tcW w:w="178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91"/>
              </w:rPr>
              <w:t>Mine Safety Disclosures</w:t>
            </w:r>
          </w:p>
        </w:tc>
        <w:tc>
          <w:tcPr>
            <w:tcW w:w="7620" w:type="dxa"/>
            <w:vAlign w:val="bottom"/>
            <w:tcBorders>
              <w:bottom w:val="single" w:sz="8" w:color="CCEEFF"/>
            </w:tcBorders>
            <w:gridSpan w:val="12"/>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77</w:t>
            </w:r>
          </w:p>
        </w:tc>
      </w:tr>
      <w:tr>
        <w:trPr>
          <w:trHeight w:val="216"/>
        </w:trPr>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88"/>
              </w:rPr>
              <w:t>—</w:t>
            </w:r>
          </w:p>
        </w:tc>
        <w:tc>
          <w:tcPr>
            <w:tcW w:w="600" w:type="dxa"/>
            <w:vAlign w:val="bottom"/>
            <w:tcBorders>
              <w:bottom w:val="single" w:sz="8" w:color="CCEEFF"/>
            </w:tcBorders>
            <w:gridSpan w:val="4"/>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176"/>
        </w:trPr>
        <w:tc>
          <w:tcPr>
            <w:tcW w:w="220" w:type="dxa"/>
            <w:vAlign w:val="bottom"/>
          </w:tcPr>
          <w:p>
            <w:pPr>
              <w:spacing w:after="0"/>
              <w:rPr>
                <w:sz w:val="15"/>
                <w:szCs w:val="15"/>
                <w:color w:val="auto"/>
              </w:rPr>
            </w:pPr>
          </w:p>
        </w:tc>
        <w:tc>
          <w:tcPr>
            <w:tcW w:w="460" w:type="dxa"/>
            <w:vAlign w:val="bottom"/>
            <w:gridSpan w:val="2"/>
          </w:tcPr>
          <w:p>
            <w:pPr>
              <w:spacing w:after="0" w:line="176" w:lineRule="exact"/>
              <w:rPr>
                <w:sz w:val="20"/>
                <w:szCs w:val="20"/>
                <w:color w:val="auto"/>
              </w:rPr>
            </w:pPr>
            <w:r>
              <w:rPr>
                <w:rFonts w:ascii="Arial" w:cs="Arial" w:eastAsia="Arial" w:hAnsi="Arial"/>
                <w:sz w:val="18"/>
                <w:szCs w:val="18"/>
                <w:color w:val="0000EE"/>
                <w:w w:val="87"/>
              </w:rPr>
              <w:t>Item 5</w:t>
            </w:r>
          </w:p>
        </w:tc>
        <w:tc>
          <w:tcPr>
            <w:tcW w:w="320" w:type="dxa"/>
            <w:vAlign w:val="bottom"/>
            <w:gridSpan w:val="3"/>
          </w:tcPr>
          <w:p>
            <w:pPr>
              <w:spacing w:after="0"/>
              <w:rPr>
                <w:sz w:val="15"/>
                <w:szCs w:val="15"/>
                <w:color w:val="auto"/>
              </w:rPr>
            </w:pPr>
          </w:p>
        </w:tc>
        <w:tc>
          <w:tcPr>
            <w:tcW w:w="9400" w:type="dxa"/>
            <w:vAlign w:val="bottom"/>
            <w:gridSpan w:val="19"/>
          </w:tcPr>
          <w:p>
            <w:pPr>
              <w:spacing w:after="0" w:line="176" w:lineRule="exact"/>
              <w:rPr>
                <w:sz w:val="20"/>
                <w:szCs w:val="20"/>
                <w:color w:val="auto"/>
              </w:rPr>
            </w:pPr>
            <w:r>
              <w:rPr>
                <w:rFonts w:ascii="Arial" w:cs="Arial" w:eastAsia="Arial" w:hAnsi="Arial"/>
                <w:sz w:val="18"/>
                <w:szCs w:val="18"/>
                <w:color w:val="0000EE"/>
              </w:rPr>
              <w:t>Other Information</w:t>
            </w:r>
          </w:p>
        </w:tc>
        <w:tc>
          <w:tcPr>
            <w:tcW w:w="8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77</w:t>
            </w:r>
          </w:p>
        </w:tc>
      </w:tr>
      <w:tr>
        <w:trPr>
          <w:trHeight w:val="196"/>
        </w:trPr>
        <w:tc>
          <w:tcPr>
            <w:tcW w:w="220" w:type="dxa"/>
            <w:vAlign w:val="bottom"/>
          </w:tcPr>
          <w:p>
            <w:pPr>
              <w:spacing w:after="0"/>
              <w:rPr>
                <w:sz w:val="17"/>
                <w:szCs w:val="17"/>
                <w:color w:val="auto"/>
              </w:rPr>
            </w:pPr>
          </w:p>
        </w:tc>
        <w:tc>
          <w:tcPr>
            <w:tcW w:w="46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w:t>
            </w:r>
          </w:p>
        </w:tc>
        <w:tc>
          <w:tcPr>
            <w:tcW w:w="320" w:type="dxa"/>
            <w:vAlign w:val="bottom"/>
            <w:gridSpan w:val="3"/>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
        </w:trPr>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w w:val="87"/>
              </w:rPr>
              <w:t>Item 6</w:t>
            </w:r>
          </w:p>
        </w:tc>
        <w:tc>
          <w:tcPr>
            <w:tcW w:w="320" w:type="dxa"/>
            <w:vAlign w:val="bottom"/>
            <w:gridSpan w:val="3"/>
            <w:shd w:val="clear" w:color="auto" w:fill="CCEEFF"/>
          </w:tcPr>
          <w:p>
            <w:pPr>
              <w:spacing w:after="0"/>
              <w:rPr>
                <w:sz w:val="15"/>
                <w:szCs w:val="15"/>
                <w:color w:val="auto"/>
              </w:rPr>
            </w:pPr>
          </w:p>
        </w:tc>
        <w:tc>
          <w:tcPr>
            <w:tcW w:w="94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84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78</w:t>
            </w:r>
          </w:p>
        </w:tc>
      </w:tr>
      <w:tr>
        <w:trPr>
          <w:trHeight w:val="216"/>
        </w:trPr>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88"/>
              </w:rPr>
              <w:t>—</w:t>
            </w:r>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600" w:type="dxa"/>
            <w:vAlign w:val="bottom"/>
            <w:tcBorders>
              <w:top w:val="single" w:sz="8" w:color="0000EE"/>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00" w:type="dxa"/>
            <w:vAlign w:val="bottom"/>
            <w:gridSpan w:val="6"/>
          </w:tcPr>
          <w:p>
            <w:pPr>
              <w:spacing w:after="0" w:line="176" w:lineRule="exact"/>
              <w:rPr>
                <w:sz w:val="20"/>
                <w:szCs w:val="20"/>
                <w:color w:val="auto"/>
              </w:rPr>
            </w:pPr>
            <w:r>
              <w:rPr>
                <w:rFonts w:ascii="Arial" w:cs="Arial" w:eastAsia="Arial" w:hAnsi="Arial"/>
                <w:sz w:val="18"/>
                <w:szCs w:val="18"/>
                <w:color w:val="0000EE"/>
              </w:rPr>
              <w:t>Signatures</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79</w:t>
            </w:r>
          </w:p>
        </w:tc>
      </w:tr>
      <w:tr>
        <w:trPr>
          <w:trHeight w:val="20"/>
        </w:trPr>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This Quarterly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Private Securities Litigation Reform Act of 1995. The events described in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our Annual Report under “Factors That May Affect Future Results and Financial Condition” on Form 10-K for the year ended December 31, 2021, Part I, Item 2 of this Quarterly Report and Part II, Item 1A of this Quarterly Report.</w:t>
      </w:r>
    </w:p>
    <w:p>
      <w:pPr>
        <w:spacing w:after="0" w:line="20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Any one or more of these uncertainties, risks and other influences could materially affect our results of operations and whether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We undertake no obligation to publicly update or revise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whether from new information, future events or otherwise except as required by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b w:val="1"/>
          <w:bCs w:val="1"/>
          <w:u w:val="single" w:color="auto"/>
          <w:color w:val="auto"/>
        </w:rPr>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7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June 30,</w:t>
            </w:r>
          </w:p>
        </w:tc>
        <w:tc>
          <w:tcPr>
            <w:tcW w:w="122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8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Fixed-maturity securities, held-to-maturity, at amortized cost (fair value of $6,913,536 at June 30, 2022 and</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$8,753,159 at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7,768,218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8,266,334</w:t>
            </w: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w w:val="95"/>
              </w:rPr>
              <w:t>Fixed-maturity securities, available-for-sale, at fair value (amortized cost of $156,683,115 at June 30, 2022 and</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141,497,787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158,080,110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$155,808,478 at December 31, 2021)</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Equity securities, at fair value (cost of $30,239,520 at June 30, 2022 and $37,470,669 at December 31, 2021)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26,064,545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39,687,002</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5,253,582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7,561,415</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180,584,132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213,594,861</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13,200,128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24,290,598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11,994,265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12,318,336</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Reinsurance receivables, net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54,652,171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40,292,438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policy acquisition costs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22,025,938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22,238,987</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10,185,098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9,291,597</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7,344,092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192,253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6,147,440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8,593,205</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306,633,264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331,312,275</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98,903,060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94,948,745</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Unearned premiums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98,152,959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97,759,607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 premiums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5,773,444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2,693,466</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Reinsurance balances payable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10,877,113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12,961,568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ceding commission revenue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9,759,340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9,748,508</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6,166,043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7,704,396</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29,911,881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29,823,791</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259,543,840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255,640,081</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$.01 par value; authorized 2,500,000 shares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00" w:type="dxa"/>
            <w:vAlign w:val="bottom"/>
          </w:tcPr>
          <w:p>
            <w:pPr>
              <w:ind w:left="260"/>
              <w:spacing w:after="0" w:line="201" w:lineRule="exact"/>
              <w:rPr>
                <w:sz w:val="20"/>
                <w:szCs w:val="20"/>
                <w:color w:val="auto"/>
              </w:rPr>
            </w:pPr>
            <w:r>
              <w:rPr>
                <w:rFonts w:ascii="Arial" w:cs="Arial" w:eastAsia="Arial" w:hAnsi="Arial"/>
                <w:sz w:val="18"/>
                <w:szCs w:val="18"/>
                <w:color w:val="auto"/>
                <w:w w:val="95"/>
              </w:rPr>
              <w:t>Common stock, $.01 par value; authorized 20,000,000 shares; issued 12,117,081 shares at June 30, 2022 and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w w:val="90"/>
              </w:rPr>
              <w:t>11,955,660 shares at December 31, 2021; outstanding 10,645,675 shares at June 30, 2022 and 10,484,254 shares at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December 31, 2021</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121,171</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119,557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in excess of par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73,102,513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72,467,483</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(11,994,258)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1,796,739</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 retained earnings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(8,572,521)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6,855,896</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tcPr>
          <w:p>
            <w:pPr>
              <w:ind w:left="220"/>
              <w:spacing w:after="0"/>
              <w:rPr>
                <w:sz w:val="20"/>
                <w:szCs w:val="20"/>
                <w:color w:val="auto"/>
              </w:rPr>
            </w:pPr>
            <w:r>
              <w:rPr>
                <w:rFonts w:ascii="Arial" w:cs="Arial" w:eastAsia="Arial" w:hAnsi="Arial"/>
                <w:sz w:val="18"/>
                <w:szCs w:val="18"/>
                <w:color w:val="auto"/>
              </w:rPr>
              <w:t>Treasury stock, at cost, 1,471,406 shares at June 30, 2022 and December 31, 2021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(5,567,481)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(5,567,481)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47,089,424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75,672,194</w:t>
            </w:r>
          </w:p>
        </w:tc>
        <w:tc>
          <w:tcPr>
            <w:tcW w:w="0" w:type="dxa"/>
            <w:vAlign w:val="bottom"/>
          </w:tcPr>
          <w:p>
            <w:pPr>
              <w:spacing w:after="0"/>
              <w:rPr>
                <w:sz w:val="1"/>
                <w:szCs w:val="1"/>
                <w:color w:val="auto"/>
              </w:rPr>
            </w:pPr>
          </w:p>
        </w:tc>
      </w:tr>
      <w:tr>
        <w:trPr>
          <w:trHeight w:val="210"/>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306,633,264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331,312,275</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ind w:left="680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(Loss) Income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5"/>
          </w:tcPr>
          <w:p>
            <w:pPr>
              <w:jc w:val="center"/>
              <w:ind w:right="220"/>
              <w:spacing w:after="0" w:line="191" w:lineRule="exact"/>
              <w:rPr>
                <w:sz w:val="20"/>
                <w:szCs w:val="20"/>
                <w:color w:val="auto"/>
              </w:rPr>
            </w:pPr>
            <w:r>
              <w:rPr>
                <w:rFonts w:ascii="Arial" w:cs="Arial" w:eastAsia="Arial" w:hAnsi="Arial"/>
                <w:sz w:val="18"/>
                <w:szCs w:val="18"/>
                <w:b w:val="1"/>
                <w:bCs w:val="1"/>
                <w:color w:val="auto"/>
                <w:w w:val="92"/>
              </w:rPr>
              <w:t>For the Three Months Ended,</w:t>
            </w:r>
          </w:p>
        </w:tc>
        <w:tc>
          <w:tcPr>
            <w:tcW w:w="2540" w:type="dxa"/>
            <w:vAlign w:val="bottom"/>
            <w:tcBorders>
              <w:top w:val="single" w:sz="8" w:color="auto"/>
            </w:tcBorders>
            <w:gridSpan w:val="5"/>
          </w:tcPr>
          <w:p>
            <w:pPr>
              <w:jc w:val="center"/>
              <w:ind w:right="100"/>
              <w:spacing w:after="0" w:line="191" w:lineRule="exact"/>
              <w:rPr>
                <w:sz w:val="20"/>
                <w:szCs w:val="20"/>
                <w:color w:val="auto"/>
              </w:rPr>
            </w:pPr>
            <w:r>
              <w:rPr>
                <w:rFonts w:ascii="Arial" w:cs="Arial" w:eastAsia="Arial" w:hAnsi="Arial"/>
                <w:sz w:val="18"/>
                <w:szCs w:val="18"/>
                <w:b w:val="1"/>
                <w:bCs w:val="1"/>
                <w:color w:val="auto"/>
                <w:w w:val="91"/>
              </w:rPr>
              <w:t>For the Six Months Ended,</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158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  27,902,068</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35,436,426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  54,575,448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70,025,644</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Ceding commission revenue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4,715,587</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45,741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9,396,983</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44,676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634,325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1,678,075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1,993,425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3,461,271</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Net (losses) gains on investments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(4,517,373)</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2,315,261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(8,915,778)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5,275,668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244,643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124,946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480,467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296,392</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28,979,250</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39,600,449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57,530,545</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79,103,651</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Expenses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18,656,041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20,759,210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41,597,239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43,319,882</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8,481,031</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8,285,341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16,832,117</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16,509,180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6,624,997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6,692,920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13,440,946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13,159,962</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665,815</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933,272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1,547,770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2,285,578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877,263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837,654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1,647,373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1,659,994</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456,545</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456,545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913,090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913,090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35,761,692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37,964,942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75,978,535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77,847,686</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income from operations before taxes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(6,782,442)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1,635,507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(18,447,990)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1,255,965</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Income tax (benefit) provision</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(1,402,823)</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312,146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(3,870,839)</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243,701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(5,379,619)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1,323,361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(14,577,151)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1,012,264</w:t>
            </w:r>
          </w:p>
        </w:tc>
        <w:tc>
          <w:tcPr>
            <w:tcW w:w="0" w:type="dxa"/>
            <w:vAlign w:val="bottom"/>
          </w:tcPr>
          <w:p>
            <w:pPr>
              <w:spacing w:after="0"/>
              <w:rPr>
                <w:sz w:val="1"/>
                <w:szCs w:val="1"/>
                <w:color w:val="auto"/>
              </w:rPr>
            </w:pPr>
          </w:p>
        </w:tc>
      </w:tr>
      <w:tr>
        <w:trPr>
          <w:trHeight w:val="239"/>
        </w:trPr>
        <w:tc>
          <w:tcPr>
            <w:tcW w:w="6060" w:type="dxa"/>
            <w:vAlign w:val="bottom"/>
            <w:tcBorders>
              <w:top w:val="single" w:sz="8" w:color="CCEEFF"/>
              <w:bottom w:val="single" w:sz="8" w:color="CCEEFF"/>
            </w:tcBorders>
          </w:tcPr>
          <w:p>
            <w:pPr>
              <w:spacing w:after="0"/>
              <w:rPr>
                <w:sz w:val="20"/>
                <w:szCs w:val="20"/>
                <w:color w:val="auto"/>
              </w:rPr>
            </w:pPr>
          </w:p>
        </w:tc>
        <w:tc>
          <w:tcPr>
            <w:tcW w:w="110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CCEEFF"/>
              <w:bottom w:val="single" w:sz="8" w:color="CCEEFF"/>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84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CCEEFF"/>
              <w:bottom w:val="single" w:sz="8" w:color="CCEEFF"/>
            </w:tcBorders>
          </w:tcPr>
          <w:p>
            <w:pPr>
              <w:spacing w:after="0"/>
              <w:rPr>
                <w:sz w:val="20"/>
                <w:szCs w:val="20"/>
                <w:color w:val="auto"/>
              </w:rPr>
            </w:pPr>
          </w:p>
        </w:tc>
        <w:tc>
          <w:tcPr>
            <w:tcW w:w="110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CCEEFF"/>
              <w:bottom w:val="single" w:sz="8" w:color="CCEEFF"/>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86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CCEEFF"/>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3" w:name="page4"/>
    <w:bookmarkEnd w:id="3"/>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w w:val="99"/>
              </w:rPr>
              <w:t>Gross change in unrealized (losses) gains on available-for-sale-securities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(7,642,863)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1,074,164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(17,508,640)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(2,749,115)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w w:val="98"/>
              </w:rPr>
              <w:t>Reclassification adjustment for losses (gains) included in net (loss) income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10,356</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(341,474)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51,680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(735,771)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change in unrealized (losses) gains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(7,632,507)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732,690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(17,456,960)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(3,484,886)</w:t>
            </w:r>
          </w:p>
        </w:tc>
        <w:tc>
          <w:tcPr>
            <w:tcW w:w="0" w:type="dxa"/>
            <w:vAlign w:val="bottom"/>
          </w:tcPr>
          <w:p>
            <w:pPr>
              <w:spacing w:after="0"/>
              <w:rPr>
                <w:sz w:val="1"/>
                <w:szCs w:val="1"/>
                <w:color w:val="auto"/>
              </w:rPr>
            </w:pPr>
          </w:p>
        </w:tc>
      </w:tr>
      <w:tr>
        <w:trPr>
          <w:trHeight w:val="202"/>
        </w:trPr>
        <w:tc>
          <w:tcPr>
            <w:tcW w:w="6060" w:type="dxa"/>
            <w:vAlign w:val="bottom"/>
          </w:tcPr>
          <w:p>
            <w:pPr>
              <w:ind w:left="220"/>
              <w:spacing w:after="0" w:line="201" w:lineRule="exact"/>
              <w:rPr>
                <w:sz w:val="20"/>
                <w:szCs w:val="20"/>
                <w:color w:val="auto"/>
              </w:rPr>
            </w:pPr>
            <w:r>
              <w:rPr>
                <w:rFonts w:ascii="Arial" w:cs="Arial" w:eastAsia="Arial" w:hAnsi="Arial"/>
                <w:sz w:val="18"/>
                <w:szCs w:val="18"/>
                <w:color w:val="auto"/>
                <w:w w:val="95"/>
              </w:rPr>
              <w:t>Income tax benefit (provision) related to items of other comprehensive (loss)</w:t>
            </w:r>
          </w:p>
        </w:tc>
        <w:tc>
          <w:tcPr>
            <w:tcW w:w="160" w:type="dxa"/>
            <w:vAlign w:val="bottom"/>
          </w:tcPr>
          <w:p>
            <w:pPr>
              <w:spacing w:after="0"/>
              <w:rPr>
                <w:sz w:val="17"/>
                <w:szCs w:val="17"/>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1,602,827</w:t>
            </w:r>
          </w:p>
        </w:tc>
        <w:tc>
          <w:tcPr>
            <w:tcW w:w="200" w:type="dxa"/>
            <w:vAlign w:val="bottom"/>
          </w:tcPr>
          <w:p>
            <w:pPr>
              <w:spacing w:after="0"/>
              <w:rPr>
                <w:sz w:val="17"/>
                <w:szCs w:val="17"/>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(153,865)</w:t>
            </w:r>
          </w:p>
        </w:tc>
        <w:tc>
          <w:tcPr>
            <w:tcW w:w="160" w:type="dxa"/>
            <w:vAlign w:val="bottom"/>
          </w:tcPr>
          <w:p>
            <w:pPr>
              <w:spacing w:after="0"/>
              <w:rPr>
                <w:sz w:val="17"/>
                <w:szCs w:val="17"/>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3,665,963</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731,827</w:t>
            </w:r>
          </w:p>
        </w:tc>
        <w:tc>
          <w:tcPr>
            <w:tcW w:w="0" w:type="dxa"/>
            <w:vAlign w:val="bottom"/>
          </w:tcPr>
          <w:p>
            <w:pPr>
              <w:spacing w:after="0"/>
              <w:rPr>
                <w:sz w:val="1"/>
                <w:szCs w:val="1"/>
                <w:color w:val="auto"/>
              </w:rPr>
            </w:pPr>
          </w:p>
        </w:tc>
      </w:tr>
      <w:tr>
        <w:trPr>
          <w:trHeight w:val="217"/>
        </w:trPr>
        <w:tc>
          <w:tcPr>
            <w:tcW w:w="6060" w:type="dxa"/>
            <w:vAlign w:val="bottom"/>
          </w:tcPr>
          <w:p>
            <w:pPr>
              <w:ind w:left="22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(6,029,680)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578,825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(13,790,997)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(2,753,059)</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line="230" w:lineRule="exact"/>
              <w:rPr>
                <w:sz w:val="20"/>
                <w:szCs w:val="20"/>
                <w:color w:val="auto"/>
              </w:rPr>
            </w:pPr>
            <w:r>
              <w:rPr>
                <w:rFonts w:ascii="Arial" w:cs="Arial" w:eastAsia="Arial" w:hAnsi="Arial"/>
                <w:sz w:val="15"/>
                <w:szCs w:val="15"/>
                <w:color w:val="auto"/>
              </w:rPr>
              <w:t>(11,409,299</w:t>
            </w:r>
            <w:r>
              <w:rPr>
                <w:rFonts w:ascii="Arial" w:cs="Arial" w:eastAsia="Arial" w:hAnsi="Arial"/>
                <w:sz w:val="26"/>
                <w:szCs w:val="26"/>
                <w:color w:val="auto"/>
                <w:vertAlign w:val="subscript"/>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1,902,186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line="230" w:lineRule="exact"/>
              <w:rPr>
                <w:sz w:val="20"/>
                <w:szCs w:val="20"/>
                <w:color w:val="auto"/>
              </w:rPr>
            </w:pPr>
            <w:r>
              <w:rPr>
                <w:rFonts w:ascii="Arial" w:cs="Arial" w:eastAsia="Arial" w:hAnsi="Arial"/>
                <w:sz w:val="15"/>
                <w:szCs w:val="15"/>
                <w:color w:val="auto"/>
              </w:rPr>
              <w:t>(28,368,148</w:t>
            </w:r>
            <w:r>
              <w:rPr>
                <w:rFonts w:ascii="Arial" w:cs="Arial" w:eastAsia="Arial" w:hAnsi="Arial"/>
                <w:sz w:val="26"/>
                <w:szCs w:val="26"/>
                <w:color w:val="auto"/>
                <w:vertAlign w:val="sub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230" w:lineRule="exact"/>
              <w:rPr>
                <w:sz w:val="20"/>
                <w:szCs w:val="20"/>
                <w:color w:val="auto"/>
              </w:rPr>
            </w:pPr>
            <w:r>
              <w:rPr>
                <w:rFonts w:ascii="Arial" w:cs="Arial" w:eastAsia="Arial" w:hAnsi="Arial"/>
                <w:sz w:val="15"/>
                <w:szCs w:val="15"/>
                <w:color w:val="auto"/>
              </w:rPr>
              <w:t>(1,740,795</w:t>
            </w:r>
            <w:r>
              <w:rPr>
                <w:rFonts w:ascii="Arial" w:cs="Arial" w:eastAsia="Arial" w:hAnsi="Arial"/>
                <w:sz w:val="26"/>
                <w:szCs w:val="26"/>
                <w:color w:val="auto"/>
                <w:vertAlign w:val="subscript"/>
              </w:rPr>
              <w:t>)</w:t>
            </w:r>
          </w:p>
        </w:tc>
        <w:tc>
          <w:tcPr>
            <w:tcW w:w="0" w:type="dxa"/>
            <w:vAlign w:val="bottom"/>
          </w:tcPr>
          <w:p>
            <w:pPr>
              <w:spacing w:after="0"/>
              <w:rPr>
                <w:sz w:val="1"/>
                <w:szCs w:val="1"/>
                <w:color w:val="auto"/>
              </w:rPr>
            </w:pPr>
          </w:p>
        </w:tc>
      </w:tr>
      <w:tr>
        <w:trPr>
          <w:trHeight w:val="216"/>
        </w:trPr>
        <w:tc>
          <w:tcPr>
            <w:tcW w:w="6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earnings per common share: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line="230" w:lineRule="exact"/>
              <w:rPr>
                <w:sz w:val="20"/>
                <w:szCs w:val="20"/>
                <w:color w:val="auto"/>
              </w:rPr>
            </w:pPr>
            <w:r>
              <w:rPr>
                <w:rFonts w:ascii="Arial" w:cs="Arial" w:eastAsia="Arial" w:hAnsi="Arial"/>
                <w:sz w:val="15"/>
                <w:szCs w:val="15"/>
                <w:color w:val="auto"/>
              </w:rPr>
              <w:t>(0.51</w:t>
            </w:r>
            <w:r>
              <w:rPr>
                <w:rFonts w:ascii="Arial" w:cs="Arial" w:eastAsia="Arial" w:hAnsi="Arial"/>
                <w:sz w:val="26"/>
                <w:szCs w:val="26"/>
                <w:color w:val="auto"/>
                <w:vertAlign w:val="subscript"/>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line="230" w:lineRule="exact"/>
              <w:rPr>
                <w:sz w:val="20"/>
                <w:szCs w:val="20"/>
                <w:color w:val="auto"/>
              </w:rPr>
            </w:pPr>
            <w:r>
              <w:rPr>
                <w:rFonts w:ascii="Arial" w:cs="Arial" w:eastAsia="Arial" w:hAnsi="Arial"/>
                <w:sz w:val="15"/>
                <w:szCs w:val="15"/>
                <w:color w:val="auto"/>
              </w:rPr>
              <w:t>(1.37</w:t>
            </w:r>
            <w:r>
              <w:rPr>
                <w:rFonts w:ascii="Arial" w:cs="Arial" w:eastAsia="Arial" w:hAnsi="Arial"/>
                <w:sz w:val="26"/>
                <w:szCs w:val="26"/>
                <w:color w:val="auto"/>
                <w:vertAlign w:val="sub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line="230" w:lineRule="exact"/>
              <w:rPr>
                <w:sz w:val="20"/>
                <w:szCs w:val="20"/>
                <w:color w:val="auto"/>
              </w:rPr>
            </w:pPr>
            <w:r>
              <w:rPr>
                <w:rFonts w:ascii="Arial" w:cs="Arial" w:eastAsia="Arial" w:hAnsi="Arial"/>
                <w:sz w:val="15"/>
                <w:szCs w:val="15"/>
                <w:color w:val="auto"/>
              </w:rPr>
              <w:t>(0.51</w:t>
            </w:r>
            <w:r>
              <w:rPr>
                <w:rFonts w:ascii="Arial" w:cs="Arial" w:eastAsia="Arial" w:hAnsi="Arial"/>
                <w:sz w:val="26"/>
                <w:szCs w:val="26"/>
                <w:color w:val="auto"/>
                <w:vertAlign w:val="subscript"/>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line="230" w:lineRule="exact"/>
              <w:rPr>
                <w:sz w:val="20"/>
                <w:szCs w:val="20"/>
                <w:color w:val="auto"/>
              </w:rPr>
            </w:pPr>
            <w:r>
              <w:rPr>
                <w:rFonts w:ascii="Arial" w:cs="Arial" w:eastAsia="Arial" w:hAnsi="Arial"/>
                <w:sz w:val="15"/>
                <w:szCs w:val="15"/>
                <w:color w:val="auto"/>
              </w:rPr>
              <w:t>(1.37</w:t>
            </w:r>
            <w:r>
              <w:rPr>
                <w:rFonts w:ascii="Arial" w:cs="Arial" w:eastAsia="Arial" w:hAnsi="Arial"/>
                <w:sz w:val="26"/>
                <w:szCs w:val="26"/>
                <w:color w:val="auto"/>
                <w:vertAlign w:val="sub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6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10,644,578</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10,670,831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10,637,553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10,673,550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10,644,578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10,846,724</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10,637,553</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10,809,924</w:t>
            </w:r>
          </w:p>
        </w:tc>
        <w:tc>
          <w:tcPr>
            <w:tcW w:w="0" w:type="dxa"/>
            <w:vAlign w:val="bottom"/>
          </w:tcPr>
          <w:p>
            <w:pPr>
              <w:spacing w:after="0"/>
              <w:rPr>
                <w:sz w:val="1"/>
                <w:szCs w:val="1"/>
                <w:color w:val="auto"/>
              </w:rPr>
            </w:pPr>
          </w:p>
        </w:tc>
      </w:tr>
      <w:tr>
        <w:trPr>
          <w:trHeight w:val="216"/>
        </w:trPr>
        <w:tc>
          <w:tcPr>
            <w:tcW w:w="6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and paid per common share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ind w:left="680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36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98"/>
              </w:rPr>
              <w:t>Preferred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4"/>
            <w:vMerge w:val="restart"/>
          </w:tcPr>
          <w:p>
            <w:pPr>
              <w:jc w:val="right"/>
              <w:ind w:right="3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in Excess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5"/>
            <w:vMerge w:val="restart"/>
          </w:tcPr>
          <w:p>
            <w:pPr>
              <w:ind w:left="340"/>
              <w:spacing w:after="0"/>
              <w:rPr>
                <w:sz w:val="20"/>
                <w:szCs w:val="20"/>
                <w:color w:val="auto"/>
              </w:rPr>
            </w:pPr>
            <w:r>
              <w:rPr>
                <w:rFonts w:ascii="Arial" w:cs="Arial" w:eastAsia="Arial" w:hAnsi="Arial"/>
                <w:sz w:val="18"/>
                <w:szCs w:val="18"/>
                <w:b w:val="1"/>
                <w:bCs w:val="1"/>
                <w:color w:val="auto"/>
              </w:rPr>
              <w:t>Treasury Stock</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136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of Par</w:t>
            </w:r>
          </w:p>
        </w:tc>
        <w:tc>
          <w:tcPr>
            <w:tcW w:w="1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Comprehensive</w:t>
            </w:r>
          </w:p>
        </w:tc>
        <w:tc>
          <w:tcPr>
            <w:tcW w:w="1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Retained</w:t>
            </w:r>
          </w:p>
        </w:tc>
        <w:tc>
          <w:tcPr>
            <w:tcW w:w="1940" w:type="dxa"/>
            <w:vAlign w:val="bottom"/>
            <w:gridSpan w:val="5"/>
            <w:vMerge w:val="continue"/>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74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93"/>
              </w:rPr>
              <w:t>Shares</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Income (Loss)</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Earnings</w:t>
            </w:r>
          </w:p>
        </w:tc>
        <w:tc>
          <w:tcPr>
            <w:tcW w:w="9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Shares</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2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April 1, 2021</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61"/>
              <w:spacing w:after="0"/>
              <w:rPr>
                <w:sz w:val="20"/>
                <w:szCs w:val="20"/>
                <w:color w:val="auto"/>
              </w:rPr>
            </w:pPr>
            <w:r>
              <w:rPr>
                <w:rFonts w:ascii="Arial" w:cs="Arial" w:eastAsia="Arial" w:hAnsi="Arial"/>
                <w:sz w:val="15"/>
                <w:szCs w:val="15"/>
                <w:color w:val="auto"/>
                <w:w w:val="71"/>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11,935,321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$ 119,353</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3"/>
              </w:rPr>
              <w:t>$ 71,116,917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6,548,178</w:t>
            </w:r>
          </w:p>
        </w:tc>
        <w:tc>
          <w:tcPr>
            <w:tcW w:w="12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$15,190,031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1,262,527</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 (3,961,798)</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$89,012,681</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4"/>
              </w:rPr>
              <w:t>compensation</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486,069</w:t>
            </w:r>
          </w:p>
        </w:tc>
        <w:tc>
          <w:tcPr>
            <w:tcW w:w="1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486,069</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13,201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deducted</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restricted</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stock awards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 payment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of</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withholding</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taxes</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(4,302)</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(35,057)</w:t>
            </w:r>
          </w:p>
        </w:tc>
        <w:tc>
          <w:tcPr>
            <w:tcW w:w="1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(35,100)</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of treasury</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120,550</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(974,135)</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(974,135)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Dividends</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(427,055)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(427,055)</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1,323,361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1,323,361</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unrealized</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gains on</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available-for-</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sale</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5"/>
              </w:rPr>
              <w:t>securities, net</w:t>
            </w:r>
          </w:p>
        </w:tc>
        <w:tc>
          <w:tcPr>
            <w:tcW w:w="74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578,825</w:t>
            </w:r>
          </w:p>
        </w:tc>
        <w:tc>
          <w:tcPr>
            <w:tcW w:w="12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578,825</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20"/>
                <w:szCs w:val="20"/>
                <w:color w:val="auto"/>
              </w:rPr>
            </w:pPr>
            <w:r>
              <w:rPr>
                <w:rFonts w:ascii="Arial" w:cs="Arial" w:eastAsia="Arial" w:hAnsi="Arial"/>
                <w:sz w:val="18"/>
                <w:szCs w:val="18"/>
                <w:color w:val="auto"/>
              </w:rPr>
              <w:t>of tax</w:t>
            </w:r>
          </w:p>
        </w:tc>
        <w:tc>
          <w:tcPr>
            <w:tcW w:w="74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Balance, June</w:t>
            </w:r>
          </w:p>
        </w:tc>
        <w:tc>
          <w:tcPr>
            <w:tcW w:w="7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ind w:right="461"/>
              <w:spacing w:after="0"/>
              <w:rPr>
                <w:sz w:val="20"/>
                <w:szCs w:val="20"/>
                <w:color w:val="auto"/>
              </w:rPr>
            </w:pPr>
            <w:r>
              <w:rPr>
                <w:rFonts w:ascii="Arial" w:cs="Arial" w:eastAsia="Arial" w:hAnsi="Arial"/>
                <w:sz w:val="15"/>
                <w:szCs w:val="15"/>
                <w:color w:val="auto"/>
                <w:w w:val="71"/>
              </w:rPr>
              <w:t>$</w:t>
            </w:r>
          </w:p>
        </w:tc>
        <w:tc>
          <w:tcPr>
            <w:tcW w:w="1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6"/>
                <w:szCs w:val="16"/>
                <w:color w:val="auto"/>
              </w:rPr>
            </w:pPr>
          </w:p>
        </w:tc>
        <w:tc>
          <w:tcPr>
            <w:tcW w:w="10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7"/>
              </w:rPr>
              <w:t>11,944,220</w:t>
            </w: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84"/>
              </w:rPr>
              <w:t>$ 119,442</w:t>
            </w:r>
          </w:p>
        </w:tc>
        <w:tc>
          <w:tcPr>
            <w:tcW w:w="11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71,567,797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7,127,003</w:t>
            </w:r>
          </w:p>
        </w:tc>
        <w:tc>
          <w:tcPr>
            <w:tcW w:w="1220" w:type="dxa"/>
            <w:vAlign w:val="bottom"/>
            <w:tcBorders>
              <w:right w:val="single" w:sz="8" w:color="CCEEFF"/>
            </w:tcBorders>
            <w:gridSpan w:val="3"/>
            <w:vMerge w:val="restart"/>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16,086,337</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4"/>
              </w:rPr>
              <w:t>1,383,077</w:t>
            </w:r>
          </w:p>
        </w:tc>
        <w:tc>
          <w:tcPr>
            <w:tcW w:w="10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(4,935,933)</w:t>
            </w:r>
          </w:p>
        </w:tc>
        <w:tc>
          <w:tcPr>
            <w:tcW w:w="10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89,964,646</w:t>
            </w: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30, 2021</w:t>
            </w:r>
          </w:p>
        </w:tc>
        <w:tc>
          <w:tcPr>
            <w:tcW w:w="740" w:type="dxa"/>
            <w:vAlign w:val="bottom"/>
            <w:gridSpan w:val="3"/>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180" w:type="dxa"/>
            <w:vAlign w:val="bottom"/>
            <w:gridSpan w:val="3"/>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20" w:type="dxa"/>
            <w:vAlign w:val="bottom"/>
            <w:tcBorders>
              <w:right w:val="single" w:sz="8" w:color="CCEEFF"/>
            </w:tcBorders>
            <w:gridSpan w:val="3"/>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108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10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3"/>
              </w:rPr>
              <w:t>Capital in</w:t>
            </w: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auto"/>
                <w:w w:val="92"/>
              </w:rPr>
              <w:t>Preferred Stock</w:t>
            </w:r>
          </w:p>
        </w:tc>
        <w:tc>
          <w:tcPr>
            <w:tcW w:w="6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4"/>
            <w:vMerge w:val="restart"/>
          </w:tcPr>
          <w:p>
            <w:pPr>
              <w:jc w:val="right"/>
              <w:ind w:right="28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3"/>
              </w:rPr>
              <w:t>Excess of</w:t>
            </w:r>
          </w:p>
        </w:tc>
        <w:tc>
          <w:tcPr>
            <w:tcW w:w="10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vMerge w:val="restart"/>
          </w:tcPr>
          <w:p>
            <w:pPr>
              <w:ind w:left="36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Borders>
              <w:bottom w:val="single" w:sz="8" w:color="auto"/>
            </w:tcBorders>
            <w:gridSpan w:val="5"/>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Par</w:t>
            </w:r>
          </w:p>
        </w:tc>
        <w:tc>
          <w:tcPr>
            <w:tcW w:w="13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Comprehensive</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3"/>
              </w:rPr>
              <w:t>Accumulated</w:t>
            </w:r>
          </w:p>
        </w:tc>
        <w:tc>
          <w:tcPr>
            <w:tcW w:w="1860" w:type="dxa"/>
            <w:vAlign w:val="bottom"/>
            <w:tcBorders>
              <w:bottom w:val="single" w:sz="8" w:color="auto"/>
            </w:tcBorders>
            <w:gridSpan w:val="4"/>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64" w:orient="portrait"/>
          <w:cols w:equalWidth="0" w:num="1">
            <w:col w:w="11240"/>
          </w:cols>
          <w:pgMar w:left="320" w:top="140"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3"/>
              </w:rPr>
              <w:t>Shares</w:t>
            </w:r>
          </w:p>
        </w:tc>
        <w:tc>
          <w:tcPr>
            <w:tcW w:w="8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Amount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Amount</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Income (Loss)</w:t>
            </w:r>
          </w:p>
        </w:tc>
        <w:tc>
          <w:tcPr>
            <w:tcW w:w="16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Deficit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Shares</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Amount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April</w:t>
            </w:r>
          </w:p>
        </w:tc>
        <w:tc>
          <w:tcPr>
            <w:tcW w:w="5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1, 2022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12,109,307</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$ 121,093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$72,638,286</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(5,964,578)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(2,767,126)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1,471,406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(5,567,481)</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$58,460,194</w:t>
            </w:r>
          </w:p>
        </w:tc>
        <w:tc>
          <w:tcPr>
            <w:tcW w:w="0" w:type="dxa"/>
            <w:vAlign w:val="bottom"/>
          </w:tcPr>
          <w:p>
            <w:pPr>
              <w:spacing w:after="0"/>
              <w:rPr>
                <w:sz w:val="1"/>
                <w:szCs w:val="1"/>
                <w:color w:val="auto"/>
              </w:rPr>
            </w:pPr>
          </w:p>
        </w:tc>
      </w:tr>
      <w:tr>
        <w:trPr>
          <w:trHeight w:val="202"/>
        </w:trPr>
        <w:tc>
          <w:tcPr>
            <w:tcW w:w="130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compensation</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486,029</w:t>
            </w:r>
          </w:p>
        </w:tc>
        <w:tc>
          <w:tcPr>
            <w:tcW w:w="2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486,029</w:t>
            </w:r>
          </w:p>
        </w:tc>
        <w:tc>
          <w:tcPr>
            <w:tcW w:w="0" w:type="dxa"/>
            <w:vAlign w:val="bottom"/>
          </w:tcPr>
          <w:p>
            <w:pPr>
              <w:spacing w:after="0"/>
              <w:rPr>
                <w:sz w:val="1"/>
                <w:szCs w:val="1"/>
                <w:color w:val="auto"/>
              </w:rPr>
            </w:pPr>
          </w:p>
        </w:tc>
      </w:tr>
      <w:tr>
        <w:trPr>
          <w:trHeight w:val="202"/>
        </w:trPr>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awards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12,149</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00" w:type="dxa"/>
            <w:vAlign w:val="bottom"/>
          </w:tcPr>
          <w:p>
            <w:pPr>
              <w:spacing w:after="0" w:line="201" w:lineRule="exact"/>
              <w:rPr>
                <w:sz w:val="20"/>
                <w:szCs w:val="20"/>
                <w:color w:val="auto"/>
              </w:rPr>
            </w:pPr>
            <w:r>
              <w:rPr>
                <w:rFonts w:ascii="Arial" w:cs="Arial" w:eastAsia="Arial" w:hAnsi="Arial"/>
                <w:sz w:val="18"/>
                <w:szCs w:val="18"/>
                <w:color w:val="auto"/>
                <w:w w:val="94"/>
              </w:rPr>
              <w:t>Shares deducted</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from restricted</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7"/>
              </w:rPr>
              <w:t>stock awards for</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payment of</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withholding</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taxes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(4,375)</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(21,681)</w:t>
            </w:r>
          </w:p>
        </w:tc>
        <w:tc>
          <w:tcPr>
            <w:tcW w:w="2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(21,724)</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(425,776)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(425,776)</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Net loss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(5,379,619)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(5,379,619)</w:t>
            </w:r>
          </w:p>
        </w:tc>
        <w:tc>
          <w:tcPr>
            <w:tcW w:w="0" w:type="dxa"/>
            <w:vAlign w:val="bottom"/>
          </w:tcPr>
          <w:p>
            <w:pPr>
              <w:spacing w:after="0"/>
              <w:rPr>
                <w:sz w:val="1"/>
                <w:szCs w:val="1"/>
                <w:color w:val="auto"/>
              </w:rPr>
            </w:pPr>
          </w:p>
        </w:tc>
      </w:tr>
      <w:tr>
        <w:trPr>
          <w:trHeight w:val="202"/>
        </w:trPr>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2"/>
              </w:rPr>
              <w:t>unrealized losses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9"/>
              </w:rPr>
              <w:t>on available-for-</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sale securities,</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(6,029,680)</w:t>
            </w:r>
          </w:p>
        </w:tc>
        <w:tc>
          <w:tcPr>
            <w:tcW w:w="16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(6,029,680)</w:t>
            </w:r>
          </w:p>
        </w:tc>
        <w:tc>
          <w:tcPr>
            <w:tcW w:w="0" w:type="dxa"/>
            <w:vAlign w:val="bottom"/>
          </w:tcPr>
          <w:p>
            <w:pPr>
              <w:spacing w:after="0"/>
              <w:rPr>
                <w:sz w:val="1"/>
                <w:szCs w:val="1"/>
                <w:color w:val="auto"/>
              </w:rPr>
            </w:pPr>
          </w:p>
        </w:tc>
      </w:tr>
      <w:tr>
        <w:trPr>
          <w:trHeight w:val="217"/>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5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80" w:type="dxa"/>
            <w:vAlign w:val="bottom"/>
            <w:tcBorders>
              <w:right w:val="single" w:sz="8" w:color="CCEEFF"/>
            </w:tcBorders>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300" w:type="dxa"/>
            <w:vAlign w:val="bottom"/>
          </w:tcPr>
          <w:p>
            <w:pPr>
              <w:spacing w:after="0" w:line="195" w:lineRule="exact"/>
              <w:rPr>
                <w:sz w:val="20"/>
                <w:szCs w:val="20"/>
                <w:color w:val="auto"/>
              </w:rPr>
            </w:pPr>
            <w:r>
              <w:rPr>
                <w:rFonts w:ascii="Arial" w:cs="Arial" w:eastAsia="Arial" w:hAnsi="Arial"/>
                <w:sz w:val="18"/>
                <w:szCs w:val="18"/>
                <w:color w:val="auto"/>
              </w:rPr>
              <w:t>Balance, June</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340" w:type="dxa"/>
            <w:vAlign w:val="bottom"/>
            <w:vMerge w:val="restart"/>
          </w:tcPr>
          <w:p>
            <w:pPr>
              <w:spacing w:after="0"/>
              <w:rPr>
                <w:sz w:val="20"/>
                <w:szCs w:val="20"/>
                <w:color w:val="auto"/>
              </w:rPr>
            </w:pPr>
            <w:r>
              <w:rPr>
                <w:rFonts w:ascii="Arial" w:cs="Arial" w:eastAsia="Arial" w:hAnsi="Arial"/>
                <w:sz w:val="18"/>
                <w:szCs w:val="18"/>
                <w:color w:val="auto"/>
              </w:rPr>
              <w:t>$</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5"/>
              </w:rPr>
              <w:t>12,117,081</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89"/>
              </w:rPr>
              <w:t>$ 121,171</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73,102,513</w:t>
            </w:r>
          </w:p>
        </w:tc>
        <w:tc>
          <w:tcPr>
            <w:tcW w:w="200" w:type="dxa"/>
            <w:vAlign w:val="bottom"/>
            <w:vMerge w:val="restart"/>
          </w:tcPr>
          <w:p>
            <w:pPr>
              <w:jc w:val="right"/>
              <w:ind w:right="41"/>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9"/>
              </w:rPr>
              <w:t>(11,994,258)</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7"/>
              </w:rPr>
              <w:t>(8,572,521)</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1,471,406</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(5,567,481)</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47,089,424</w:t>
            </w:r>
          </w:p>
        </w:tc>
        <w:tc>
          <w:tcPr>
            <w:tcW w:w="0" w:type="dxa"/>
            <w:vAlign w:val="bottom"/>
          </w:tcPr>
          <w:p>
            <w:pPr>
              <w:spacing w:after="0"/>
              <w:rPr>
                <w:sz w:val="1"/>
                <w:szCs w:val="1"/>
                <w:color w:val="auto"/>
              </w:rPr>
            </w:pPr>
          </w:p>
        </w:tc>
      </w:tr>
      <w:tr>
        <w:trPr>
          <w:trHeight w:val="190"/>
        </w:trPr>
        <w:tc>
          <w:tcPr>
            <w:tcW w:w="1300" w:type="dxa"/>
            <w:vAlign w:val="bottom"/>
          </w:tcPr>
          <w:p>
            <w:pPr>
              <w:spacing w:after="0" w:line="190" w:lineRule="exact"/>
              <w:rPr>
                <w:sz w:val="20"/>
                <w:szCs w:val="20"/>
                <w:color w:val="auto"/>
              </w:rPr>
            </w:pPr>
            <w:r>
              <w:rPr>
                <w:rFonts w:ascii="Arial" w:cs="Arial" w:eastAsia="Arial" w:hAnsi="Arial"/>
                <w:sz w:val="18"/>
                <w:szCs w:val="18"/>
                <w:color w:val="auto"/>
              </w:rPr>
              <w:t>30, 2022</w:t>
            </w:r>
          </w:p>
        </w:tc>
        <w:tc>
          <w:tcPr>
            <w:tcW w:w="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3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8"/>
              </w:rPr>
              <w:t>Preferred 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4"/>
            <w:vMerge w:val="restart"/>
          </w:tcPr>
          <w:p>
            <w:pPr>
              <w:jc w:val="right"/>
              <w:ind w:right="440"/>
              <w:spacing w:after="0"/>
              <w:rPr>
                <w:sz w:val="20"/>
                <w:szCs w:val="20"/>
                <w:color w:val="auto"/>
              </w:rPr>
            </w:pPr>
            <w:r>
              <w:rPr>
                <w:rFonts w:ascii="Arial" w:cs="Arial" w:eastAsia="Arial" w:hAnsi="Arial"/>
                <w:sz w:val="18"/>
                <w:szCs w:val="18"/>
                <w:b w:val="1"/>
                <w:bCs w:val="1"/>
                <w:color w:val="auto"/>
              </w:rPr>
              <w:t>Common Stock</w:t>
            </w:r>
          </w:p>
        </w:tc>
        <w:tc>
          <w:tcPr>
            <w:tcW w:w="1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4"/>
            <w:vMerge w:val="restart"/>
          </w:tcPr>
          <w:p>
            <w:pPr>
              <w:jc w:val="right"/>
              <w:ind w:right="500"/>
              <w:spacing w:after="0"/>
              <w:rPr>
                <w:sz w:val="20"/>
                <w:szCs w:val="20"/>
                <w:color w:val="auto"/>
              </w:rPr>
            </w:pPr>
            <w:r>
              <w:rPr>
                <w:rFonts w:ascii="Arial" w:cs="Arial" w:eastAsia="Arial" w:hAnsi="Arial"/>
                <w:sz w:val="18"/>
                <w:szCs w:val="18"/>
                <w:b w:val="1"/>
                <w:bCs w:val="1"/>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4"/>
            <w:vMerge w:val="continue"/>
          </w:tcPr>
          <w:p>
            <w:pPr>
              <w:spacing w:after="0"/>
              <w:rPr>
                <w:sz w:val="19"/>
                <w:szCs w:val="19"/>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in Excess</w:t>
            </w:r>
          </w:p>
        </w:tc>
        <w:tc>
          <w:tcPr>
            <w:tcW w:w="80" w:type="dxa"/>
            <w:vAlign w:val="bottom"/>
          </w:tcPr>
          <w:p>
            <w:pPr>
              <w:spacing w:after="0"/>
              <w:rPr>
                <w:sz w:val="19"/>
                <w:szCs w:val="19"/>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Retained</w:t>
            </w:r>
          </w:p>
        </w:tc>
        <w:tc>
          <w:tcPr>
            <w:tcW w:w="2040" w:type="dxa"/>
            <w:vAlign w:val="bottom"/>
            <w:gridSpan w:val="4"/>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7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3"/>
              </w:rPr>
              <w:t>Shares</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40" w:type="dxa"/>
            <w:vAlign w:val="bottom"/>
          </w:tcPr>
          <w:p>
            <w:pPr>
              <w:spacing w:after="0"/>
              <w:rPr>
                <w:sz w:val="18"/>
                <w:szCs w:val="18"/>
                <w:color w:val="auto"/>
              </w:rPr>
            </w:pPr>
          </w:p>
        </w:tc>
        <w:tc>
          <w:tcPr>
            <w:tcW w:w="10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of Par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Income (Loss)</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Earnings</w:t>
            </w:r>
          </w:p>
        </w:tc>
        <w:tc>
          <w:tcPr>
            <w:tcW w:w="9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Shares</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61"/>
              <w:spacing w:after="0"/>
              <w:rPr>
                <w:sz w:val="20"/>
                <w:szCs w:val="20"/>
                <w:color w:val="auto"/>
              </w:rPr>
            </w:pPr>
            <w:r>
              <w:rPr>
                <w:rFonts w:ascii="Arial" w:cs="Arial" w:eastAsia="Arial" w:hAnsi="Arial"/>
                <w:sz w:val="15"/>
                <w:szCs w:val="15"/>
                <w:color w:val="auto"/>
                <w:w w:val="71"/>
              </w:rPr>
              <w:t>$</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11,871,307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$ 118,713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$70,769,165</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3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9,880,062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$15,928,345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1,254,492</w:t>
            </w: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(3,895,883)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$92,800,402</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4"/>
              </w:rPr>
              <w:t>compensation</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981,067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981,067</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99,123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deducted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restricted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stock awards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 payment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of</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withholding</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taxes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(26,210)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(181,444)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(181,706)</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of treasury</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128,585</w:t>
            </w: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(1,040,050)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(1,040,050)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Dividends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(854,272)</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(854,272)</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1,012,264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1,012,264</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unrealized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losses 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available-for-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sale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5"/>
              </w:rPr>
              <w:t>securities, net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9"/>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(2,753,059)</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(2,753,059)</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20"/>
                <w:szCs w:val="20"/>
                <w:color w:val="auto"/>
              </w:rPr>
            </w:pPr>
            <w:r>
              <w:rPr>
                <w:rFonts w:ascii="Arial" w:cs="Arial" w:eastAsia="Arial" w:hAnsi="Arial"/>
                <w:sz w:val="18"/>
                <w:szCs w:val="18"/>
                <w:color w:val="auto"/>
              </w:rPr>
              <w:t>of tax</w:t>
            </w:r>
          </w:p>
        </w:tc>
        <w:tc>
          <w:tcPr>
            <w:tcW w:w="74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Balance, June</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ind w:right="461"/>
              <w:spacing w:after="0"/>
              <w:rPr>
                <w:sz w:val="20"/>
                <w:szCs w:val="20"/>
                <w:color w:val="auto"/>
              </w:rPr>
            </w:pPr>
            <w:r>
              <w:rPr>
                <w:rFonts w:ascii="Arial" w:cs="Arial" w:eastAsia="Arial" w:hAnsi="Arial"/>
                <w:sz w:val="15"/>
                <w:szCs w:val="15"/>
                <w:color w:val="auto"/>
                <w:w w:val="71"/>
              </w:rPr>
              <w:t>$</w:t>
            </w:r>
          </w:p>
        </w:tc>
        <w:tc>
          <w:tcPr>
            <w:tcW w:w="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7"/>
              </w:rPr>
              <w:t>11,944,220</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87"/>
              </w:rPr>
              <w:t>$ 119,442</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71,567,797</w:t>
            </w:r>
          </w:p>
        </w:tc>
        <w:tc>
          <w:tcPr>
            <w:tcW w:w="160" w:type="dxa"/>
            <w:vAlign w:val="bottom"/>
            <w:gridSpan w:val="2"/>
            <w:vMerge w:val="restart"/>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3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7,127,003</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16,086,337</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9"/>
              </w:rPr>
              <w:t>1,383,077</w:t>
            </w:r>
          </w:p>
        </w:tc>
        <w:tc>
          <w:tcPr>
            <w:tcW w:w="106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(4,935,933)</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89,964,646</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30, 2021</w:t>
            </w:r>
          </w:p>
        </w:tc>
        <w:tc>
          <w:tcPr>
            <w:tcW w:w="74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60" w:type="dxa"/>
            <w:vAlign w:val="bottom"/>
            <w:tcBorders>
              <w:right w:val="single" w:sz="8" w:color="CCEEFF"/>
            </w:tcBorders>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320" w:type="dxa"/>
            <w:vAlign w:val="bottom"/>
            <w:tcBorders>
              <w:right w:val="single" w:sz="8" w:color="CCEEFF"/>
            </w:tcBorders>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60" w:type="dxa"/>
            <w:vAlign w:val="bottom"/>
            <w:tcBorders>
              <w:right w:val="single" w:sz="8" w:color="CCEEFF"/>
            </w:tcBorders>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ind w:left="60"/>
              <w:spacing w:after="0"/>
              <w:rPr>
                <w:sz w:val="20"/>
                <w:szCs w:val="20"/>
                <w:color w:val="auto"/>
              </w:rPr>
            </w:pPr>
            <w:r>
              <w:rPr>
                <w:rFonts w:ascii="Arial" w:cs="Arial" w:eastAsia="Arial" w:hAnsi="Arial"/>
                <w:sz w:val="18"/>
                <w:szCs w:val="18"/>
                <w:b w:val="1"/>
                <w:bCs w:val="1"/>
                <w:color w:val="auto"/>
              </w:rPr>
              <w:t>Accumulated</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Retained</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Other</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Earnings</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0" w:gutter="0" w:footer="0" w:header="0"/>
        </w:sectPr>
      </w:pPr>
    </w:p>
    <w:bookmarkStart w:id="5" w:name="page6"/>
    <w:bookmarkEnd w:id="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1500" w:type="dxa"/>
            <w:vAlign w:val="bottom"/>
            <w:gridSpan w:val="5"/>
          </w:tcPr>
          <w:p>
            <w:pPr>
              <w:ind w:left="100"/>
              <w:spacing w:after="0"/>
              <w:rPr>
                <w:sz w:val="20"/>
                <w:szCs w:val="20"/>
                <w:color w:val="auto"/>
              </w:rPr>
            </w:pPr>
            <w:r>
              <w:rPr>
                <w:rFonts w:ascii="Arial" w:cs="Arial" w:eastAsia="Arial" w:hAnsi="Arial"/>
                <w:sz w:val="18"/>
                <w:szCs w:val="18"/>
                <w:b w:val="1"/>
                <w:bCs w:val="1"/>
                <w:color w:val="auto"/>
              </w:rPr>
              <w:t>Preferred Stock</w:t>
            </w:r>
          </w:p>
        </w:tc>
        <w:tc>
          <w:tcPr>
            <w:tcW w:w="19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Common Stock</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in Excess</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Comprehensive</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(Accumulated</w:t>
            </w:r>
          </w:p>
        </w:tc>
        <w:tc>
          <w:tcPr>
            <w:tcW w:w="198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Treasury Stock</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6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89"/>
              </w:rPr>
              <w:t>Shares</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2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of Par</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Income (Loss)</w:t>
            </w: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Deficit)</w:t>
            </w:r>
          </w:p>
        </w:tc>
        <w:tc>
          <w:tcPr>
            <w:tcW w:w="94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11,955,660</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$ 119,557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$72,467,483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1,796,739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6,855,896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1,471,406</w:t>
            </w: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(5,567,481)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75,672,194</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4"/>
              </w:rPr>
              <w:t>compensation</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1,016,443</w:t>
            </w: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1,016,443</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234,219</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2,342</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(2,342)</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deducted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restricted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stock awards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 payment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of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withholding</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taxes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(72,798)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(379,071)</w:t>
            </w: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(379,799)</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(851,266)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(851,266)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(14,577,151)</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(14,577,151)</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unrealized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losses 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available-for-</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5"/>
              </w:rPr>
              <w:t>securities, net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8"/>
                <w:szCs w:val="18"/>
                <w:color w:val="auto"/>
              </w:rPr>
            </w:pPr>
          </w:p>
        </w:tc>
        <w:tc>
          <w:tcPr>
            <w:tcW w:w="104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(13,790,997)</w:t>
            </w:r>
          </w:p>
        </w:tc>
        <w:tc>
          <w:tcPr>
            <w:tcW w:w="18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0"/>
              </w:rPr>
              <w:t>(13,790,997)</w:t>
            </w:r>
          </w:p>
        </w:tc>
        <w:tc>
          <w:tcPr>
            <w:tcW w:w="0" w:type="dxa"/>
            <w:vAlign w:val="bottom"/>
          </w:tcPr>
          <w:p>
            <w:pPr>
              <w:spacing w:after="0"/>
              <w:rPr>
                <w:sz w:val="1"/>
                <w:szCs w:val="1"/>
                <w:color w:val="auto"/>
              </w:rPr>
            </w:pPr>
          </w:p>
        </w:tc>
      </w:tr>
      <w:tr>
        <w:trPr>
          <w:trHeight w:val="217"/>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of tax</w:t>
            </w:r>
          </w:p>
        </w:tc>
        <w:tc>
          <w:tcPr>
            <w:tcW w:w="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tcBorders>
              <w:right w:val="single" w:sz="8" w:color="CCEEFF"/>
            </w:tcBorders>
            <w:gridSpan w:val="2"/>
            <w:vMerge w:val="continue"/>
            <w:shd w:val="clear" w:color="auto" w:fill="CCEEFF"/>
          </w:tcPr>
          <w:p>
            <w:pPr>
              <w:spacing w:after="0"/>
              <w:rPr>
                <w:sz w:val="18"/>
                <w:szCs w:val="18"/>
                <w:color w:val="auto"/>
              </w:rPr>
            </w:pPr>
          </w:p>
        </w:tc>
        <w:tc>
          <w:tcPr>
            <w:tcW w:w="860" w:type="dxa"/>
            <w:vAlign w:val="bottom"/>
            <w:tcBorders>
              <w:right w:val="single" w:sz="8" w:color="CCEEFF"/>
            </w:tcBorders>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4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tcPr>
          <w:p>
            <w:pPr>
              <w:spacing w:after="0" w:line="195" w:lineRule="exact"/>
              <w:rPr>
                <w:sz w:val="20"/>
                <w:szCs w:val="20"/>
                <w:color w:val="auto"/>
              </w:rPr>
            </w:pPr>
            <w:r>
              <w:rPr>
                <w:rFonts w:ascii="Arial" w:cs="Arial" w:eastAsia="Arial" w:hAnsi="Arial"/>
                <w:sz w:val="18"/>
                <w:szCs w:val="18"/>
                <w:color w:val="auto"/>
                <w:w w:val="92"/>
              </w:rPr>
              <w:t>Balance, June</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6"/>
                <w:szCs w:val="16"/>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5"/>
              </w:rPr>
              <w:t>12,117,081</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4"/>
              </w:rPr>
              <w:t>$ 121,171</w:t>
            </w: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73,102,513</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(11,994,258)</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(8,572,521)</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7"/>
              </w:rPr>
              <w:t>1,471,406</w:t>
            </w: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(5,567,481)</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5"/>
              </w:rPr>
              <w:t>47,089,424</w:t>
            </w:r>
          </w:p>
        </w:tc>
        <w:tc>
          <w:tcPr>
            <w:tcW w:w="0" w:type="dxa"/>
            <w:vAlign w:val="bottom"/>
          </w:tcPr>
          <w:p>
            <w:pPr>
              <w:spacing w:after="0"/>
              <w:rPr>
                <w:sz w:val="1"/>
                <w:szCs w:val="1"/>
                <w:color w:val="auto"/>
              </w:rPr>
            </w:pPr>
          </w:p>
        </w:tc>
      </w:tr>
      <w:tr>
        <w:trPr>
          <w:trHeight w:val="190"/>
        </w:trPr>
        <w:tc>
          <w:tcPr>
            <w:tcW w:w="1080" w:type="dxa"/>
            <w:vAlign w:val="bottom"/>
          </w:tcPr>
          <w:p>
            <w:pPr>
              <w:spacing w:after="0" w:line="190" w:lineRule="exact"/>
              <w:rPr>
                <w:sz w:val="20"/>
                <w:szCs w:val="20"/>
                <w:color w:val="auto"/>
              </w:rPr>
            </w:pPr>
            <w:r>
              <w:rPr>
                <w:rFonts w:ascii="Arial" w:cs="Arial" w:eastAsia="Arial" w:hAnsi="Arial"/>
                <w:sz w:val="18"/>
                <w:szCs w:val="18"/>
                <w:color w:val="auto"/>
              </w:rPr>
              <w:t>30, 2022</w:t>
            </w: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Six months ended June 30,</w:t>
            </w:r>
          </w:p>
        </w:tc>
        <w:tc>
          <w:tcPr>
            <w:tcW w:w="120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r>
      <w:tr>
        <w:trPr>
          <w:trHeight w:val="425"/>
        </w:trPr>
        <w:tc>
          <w:tcPr>
            <w:tcW w:w="86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(14,577,151)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1,012,264</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Adjustments to reconcile net (loss) income to net cash flows (used in) provided by operating activities: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losses (gains) on investments</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210,900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(1,844,257)</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Net unrealized losses (gains) on equity investments</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6,417,045</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(1,924,072)</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losses (gains) on other investments</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2,287,833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(1,507,339)</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1,647,373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1,659,994</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Bad debt expense</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42,226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128,518</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Amortization of bond premium, net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248,650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107,068</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discount and issuance costs on debt</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88,090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88,090</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1,016,443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981,067</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(benefit) expense</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(3,485,876)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588,442</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Decrease (increase) in operating assets: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 net</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281,845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971,389</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Reinsurance receivables, net</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(14,359,733)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17,267,805</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policy acquisition costs</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213,049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191,560</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2,437,007</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(1,365,167)</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liabilities: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3,954,315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2,223,810</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premiums</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393,352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(1,936,706)</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Advance premiums</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3,079,978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2,582,330</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Reinsurance balances payable</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(2,084,455)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(4,953,735)</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Deferred ceding commission revenue</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10,832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(8,931)</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(1,538,353)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102,185</w:t>
            </w: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600" w:type="dxa"/>
            <w:vAlign w:val="bottom"/>
          </w:tcPr>
          <w:p>
            <w:pPr>
              <w:spacing w:after="0"/>
              <w:rPr>
                <w:sz w:val="20"/>
                <w:szCs w:val="20"/>
                <w:color w:val="auto"/>
              </w:rPr>
            </w:pPr>
            <w:r>
              <w:rPr>
                <w:rFonts w:ascii="Arial" w:cs="Arial" w:eastAsia="Arial" w:hAnsi="Arial"/>
                <w:sz w:val="18"/>
                <w:szCs w:val="18"/>
                <w:b w:val="1"/>
                <w:bCs w:val="1"/>
                <w:color w:val="auto"/>
              </w:rPr>
              <w:t>Net cash flows (used in) provided by operating activities</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(13,716,630)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14,364,315</w:t>
            </w:r>
          </w:p>
        </w:tc>
      </w:tr>
      <w:tr>
        <w:trPr>
          <w:trHeight w:val="209"/>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Purchase - fixed-maturity securities held-to-maturity</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(498,711)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(3,111,381)</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Purchase - fixed-maturity securities available-for-sale</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(14,386,410)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(5,424,374)</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Purchase - equity securities</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(589,317)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(8,431,047)</w:t>
            </w:r>
          </w:p>
        </w:tc>
      </w:tr>
      <w:tr>
        <w:trPr>
          <w:trHeight w:val="245"/>
        </w:trPr>
        <w:tc>
          <w:tcPr>
            <w:tcW w:w="8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 - other investments</w:t>
            </w:r>
          </w:p>
        </w:tc>
        <w:tc>
          <w:tcPr>
            <w:tcW w:w="1420" w:type="dxa"/>
            <w:vAlign w:val="bottom"/>
            <w:tcBorders>
              <w:bottom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(2,000,000)</w:t>
            </w:r>
          </w:p>
        </w:tc>
      </w:tr>
    </w:tbl>
    <w:p>
      <w:pPr>
        <w:sectPr>
          <w:pgSz w:w="11900" w:h="16900" w:orient="portrait"/>
          <w:cols w:equalWidth="0" w:num="1">
            <w:col w:w="11240"/>
          </w:cols>
          <w:pgMar w:left="320" w:top="121" w:right="339" w:bottom="0" w:gutter="0" w:footer="0" w:header="0"/>
        </w:sectPr>
      </w:pPr>
    </w:p>
    <w:bookmarkStart w:id="6" w:name="page7"/>
    <w:bookmarkEnd w:id="6"/>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Redemption - fixed-maturity securities held-to-maturity</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Sale and maturity - fixed-maturity securities available-for-sale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13,228,270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22,276,142</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Sale - equity securities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7,644,267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9,569,363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(2,540,874)</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(2,195,985)</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provided by investing activities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3,857,225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11,307,718</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Withholding taxes paid on vested retricted stock awards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(379,799)</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(181,706)</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(1,040,050)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(851,266)</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(854,272)</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financing activities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(1,231,065)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(2,076,028)</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(11,090,470)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23,596,005</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24,290,598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19,463,742</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13,200,128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43,059,747</w:t>
            </w:r>
          </w:p>
        </w:tc>
      </w:tr>
      <w:tr>
        <w:trPr>
          <w:trHeight w:val="197"/>
        </w:trPr>
        <w:tc>
          <w:tcPr>
            <w:tcW w:w="87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Kingstone Companies, Inc. (referred to herein as "Kingstone" or the “Company”), through its wholly owned subsidiary, Kingstone Insurance Company (“KICO”), underwrites property and casualty insurance exclusively through retail and wholesale agents and brokers. KICO is a licensed insurance company in the States of New York, New Jersey, Rhode Island, Massachusetts, Pennsylvania, Connecticut, Maine and New Hampshire. KICO is currently offering its property and casualty insurance products in New York, New Jersey, Rhode Island, Massachusetts, and Connecticut. Although New Jersey, Rhode Island, Massachusetts and Connecticut continue to be growing markets for the Company, 79.8% and 80.2% of KICO’s direct written premiums for the three months and six months ended June 30, 2022, respectively, came from the New York policies. Kingstone, through its wholly owned subsidiary, Cosi Agency, Inc. (“Cosi”), a multi-state licensed general agency, accesses alternate forms of distribution outside of the independent agent and broker network, through which KICO currently distributes its various products.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2021 and notes thereto included in the Company’s Annual Report on Form 10-K filed with the Securities and Exchange Commission (the “SEC”) on April 4, 2022.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presentation of the Company’s financial position and results of operations. The results of operations for the six months ended June 30, 2022 may not be indicative of the results that may be expected for the year ending December 31, 2022.</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year balances were reclassified to conform with the current year presentation. The reclassification had no effect on the Company’s previously reported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 the Company’s Annual Report on Form 10-K for the year ended December 31, 2021 for further information.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$30,000,000 5.5% Senior Unsecured Notes (the “Notes”) are due on December 30, 2022. The Company’s continuation as a going concern is dependent on its ability to obtain financing and/or other funds to satisfy such obligation. Management believes that KICO’s insurance operations would be able to continue in the unlikely event that financing is not obtained.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accordance with Accounting Standards Update (“ASU”) 2014-15, Presentation of Financial Statements—Going Concern (Subtopic 205-40) (“ASC 205-40”), the Company has the responsibility to evaluate whether conditions and/or events raise substantial doubt about its ability to meet its future financial</w:t>
      </w:r>
    </w:p>
    <w:p>
      <w:pPr>
        <w:sectPr>
          <w:pgSz w:w="11900" w:h="16956" w:orient="portrait"/>
          <w:cols w:equalWidth="0" w:num="1">
            <w:col w:w="11240"/>
          </w:cols>
          <w:pgMar w:left="320" w:top="140" w:right="339" w:bottom="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color w:val="auto"/>
        </w:rPr>
        <w:t>obligations as they become due within one year after the date that the financial statements are issued. This evaluation requires management to perform two steps. First, management must evaluate whether there are conditions and events that raise substantial doubt about the entity’s ability to continue as a going concern. Second, if management concludes that substantial doubt is raised, management is required to consider whether it has plans in place to alleviate that doubt. Disclosures in the notes to the consolidated financial statements are required if management concludes that substantial doubt exists and if its plans alleviate the substantial doubt that was raised.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GAAP assuming that the Company will continue as a going concern. The financial statements do not include any adjustments to reflect the possible future effects on the recoverability and classification of assets or the amounts and classification of liabilities that may result should the Company be unable to continue as a going concern.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Plan Related to Going Concern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continue as a going concern, the Company will need to obtain financing and/or other funds to satisfy its debt obligation due on December 30, 2022. Management plans to refinance the Notes with a new issue of investment grade debt securities of similar or longer maturity that would result in net proceeds equal to or greater than the principal amount of the Notes. In connection therewith, the Company has engaged an investment banker to serve as exclusive placement agent for a proposed offering by the Company of its securities (including debt, equity and/or preferred securities). The engagement letter indicates that the offering would be of such size as to generate proceeds to the Company of no less than $30,000,000. Subject to regulatory requirements, the Company also may receive dividends paid to it by KICO, its insurance subsidiary, that could be utilized to repay the Notes. As of June 30, 2022, KICO had negative unassigned surplus and was not permitted to pay the Company any dividends without prior regulatory approval. Further, the Company plans to use available invested assets and cash to repay the Notes. As of June 30, 2022, invested assets and cash of Kingstone were approximately $2,780,000.</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ability of the Company to continue as a going concern is dependent upon its ability to successfully accomplish the plan described above. The Company believes that its plan is probable of being implemented and that such plan would alleviate any adverse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which include the reserves for losses and LAE, which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used in preparing the condensed consolidated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condensed consolidated financial statements include the accounts of Kingstone and its wholly owned subsidiaries: (1) KICO and its wholly owned subsidiaries, CMIC Properties, Inc. (“Properties”) and 15 Joys Lane, LLC (“15 Joys Lane”), which together own the land and building from which KICO operates, and (2) Cosi. All significant inter-company account balances and transactions have been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2016, the Financial Accounting Standards Board (the “FASB”) issued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for the Company on January 1, 2023. The Company is currently evaluating the effect the updated guidance will have on its condensed consolidated financial statements.</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Fixed-Maturity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estimated fair value, and unrealized gains and losses on investments in fixed-maturity securities classified as available-for-sale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2022 and December 31, 2021 are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rPr>
              <w:t>June 30, 2022</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Cost 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Gross</w:t>
            </w:r>
          </w:p>
        </w:tc>
        <w:tc>
          <w:tcPr>
            <w:tcW w:w="21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89"/>
              </w:rPr>
              <w:t>Gross Unrealized Losses</w:t>
            </w:r>
          </w:p>
        </w:tc>
        <w:tc>
          <w:tcPr>
            <w:tcW w:w="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8"/>
                <w:szCs w:val="18"/>
                <w:color w:val="auto"/>
              </w:rPr>
            </w:pPr>
          </w:p>
        </w:tc>
      </w:tr>
      <w:tr>
        <w:trPr>
          <w:trHeight w:val="191"/>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Unrealized</w:t>
            </w: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Less than 12</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r>
      <w:tr>
        <w:trPr>
          <w:trHeight w:val="234"/>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Months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Months</w:t>
            </w: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r>
      <w:tr>
        <w:trPr>
          <w:trHeight w:val="411"/>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Political subdivisions of States,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$ 17,218,274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(3,020,486)</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$ 14,197,788</w:t>
            </w: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  (3,020,486)</w:t>
            </w:r>
          </w:p>
        </w:tc>
      </w:tr>
    </w:tbl>
    <w:p>
      <w:pPr>
        <w:sectPr>
          <w:pgSz w:w="11900" w:h="16838" w:orient="portrait"/>
          <w:cols w:equalWidth="0" w:num="1">
            <w:col w:w="11240"/>
          </w:cols>
          <w:pgMar w:left="320" w:top="125"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84,235,861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(6,562,506)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77,683,137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(6,552,724)</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Residential mortgage and other asset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backed securities</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55,228,980</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114,844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(5,387,294)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(339,668)</w:t>
            </w:r>
          </w:p>
        </w:tc>
        <w:tc>
          <w:tcPr>
            <w:tcW w:w="22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49,616,862</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(5,612,118)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0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gridSpan w:val="2"/>
          </w:tcPr>
          <w:p>
            <w:pPr>
              <w:spacing w:after="0"/>
              <w:rPr>
                <w:sz w:val="20"/>
                <w:szCs w:val="20"/>
                <w:color w:val="auto"/>
              </w:rPr>
            </w:pPr>
            <w:r>
              <w:rPr>
                <w:rFonts w:ascii="Arial" w:cs="Arial" w:eastAsia="Arial" w:hAnsi="Arial"/>
                <w:sz w:val="18"/>
                <w:szCs w:val="18"/>
                <w:color w:val="auto"/>
              </w:rPr>
              <w:t>Total fixed-maturity securities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3"/>
              </w:rPr>
              <w:t>$ 156,683,115</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124,626</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w w:val="88"/>
              </w:rPr>
              <w:t>$ (14,970,286)</w:t>
            </w:r>
          </w:p>
        </w:tc>
        <w:tc>
          <w:tcPr>
            <w:tcW w:w="1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(339,668)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 xml:space="preserve"> 141,497,787</w:t>
            </w:r>
          </w:p>
        </w:tc>
        <w:tc>
          <w:tcPr>
            <w:tcW w:w="14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w w:val="88"/>
              </w:rPr>
              <w:t>$ (15,185,328)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28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8"/>
                <w:szCs w:val="18"/>
                <w:b w:val="1"/>
                <w:bCs w:val="1"/>
                <w:color w:val="auto"/>
              </w:rPr>
              <w:t>December 31, 2021</w:t>
            </w: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6"/>
            <w:vMerge w:val="restart"/>
          </w:tcPr>
          <w:p>
            <w:pPr>
              <w:jc w:val="right"/>
              <w:ind w:right="340"/>
              <w:spacing w:after="0"/>
              <w:rPr>
                <w:sz w:val="20"/>
                <w:szCs w:val="20"/>
                <w:color w:val="auto"/>
              </w:rPr>
            </w:pPr>
            <w:r>
              <w:rPr>
                <w:rFonts w:ascii="Arial" w:cs="Arial" w:eastAsia="Arial" w:hAnsi="Arial"/>
                <w:sz w:val="18"/>
                <w:szCs w:val="18"/>
                <w:b w:val="1"/>
                <w:bCs w:val="1"/>
                <w:color w:val="auto"/>
                <w:w w:val="88"/>
              </w:rPr>
              <w:t>Gross Unrealized Losses</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Cost or</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6"/>
            <w:vMerge w:val="continue"/>
          </w:tcPr>
          <w:p>
            <w:pPr>
              <w:spacing w:after="0"/>
              <w:rPr>
                <w:sz w:val="19"/>
                <w:szCs w:val="19"/>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80" w:type="dxa"/>
            <w:vAlign w:val="bottom"/>
          </w:tcPr>
          <w:p>
            <w:pPr>
              <w:spacing w:after="0"/>
              <w:rPr>
                <w:sz w:val="19"/>
                <w:szCs w:val="19"/>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88"/>
              </w:rPr>
              <w:t>Less than</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2"/>
              </w:rPr>
              <w:t>More than</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8"/>
                <w:szCs w:val="18"/>
                <w:color w:val="auto"/>
              </w:rPr>
            </w:pPr>
          </w:p>
        </w:tc>
        <w:tc>
          <w:tcPr>
            <w:tcW w:w="10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Fair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Gains/</w:t>
            </w:r>
          </w:p>
        </w:tc>
        <w:tc>
          <w:tcPr>
            <w:tcW w:w="0" w:type="dxa"/>
            <w:vAlign w:val="bottom"/>
          </w:tcPr>
          <w:p>
            <w:pPr>
              <w:spacing w:after="0"/>
              <w:rPr>
                <w:sz w:val="1"/>
                <w:szCs w:val="1"/>
                <w:color w:val="auto"/>
              </w:rPr>
            </w:pPr>
          </w:p>
        </w:tc>
      </w:tr>
      <w:tr>
        <w:trPr>
          <w:trHeight w:val="234"/>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Cost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Months</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17,236,750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246,748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(197,984)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$ 17,285,514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48,764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80,534,769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2,603,411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(126,926)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83,011,254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2,476,485</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Residential mortgage and other asset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backed securities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58,036,959</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355,985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(489,258)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(120,344)</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57,783,342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(253,617)</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0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
          </w:tcPr>
          <w:p>
            <w:pPr>
              <w:spacing w:after="0"/>
              <w:rPr>
                <w:sz w:val="20"/>
                <w:szCs w:val="20"/>
                <w:color w:val="auto"/>
              </w:rPr>
            </w:pPr>
            <w:r>
              <w:rPr>
                <w:rFonts w:ascii="Arial" w:cs="Arial" w:eastAsia="Arial" w:hAnsi="Arial"/>
                <w:sz w:val="18"/>
                <w:szCs w:val="18"/>
                <w:color w:val="auto"/>
              </w:rPr>
              <w:t>Total fixed-maturity securities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155,808,478</w:t>
            </w:r>
          </w:p>
        </w:tc>
        <w:tc>
          <w:tcPr>
            <w:tcW w:w="80" w:type="dxa"/>
            <w:vAlign w:val="bottom"/>
          </w:tcPr>
          <w:p>
            <w:pPr>
              <w:spacing w:after="0"/>
              <w:rPr>
                <w:sz w:val="18"/>
                <w:szCs w:val="18"/>
                <w:color w:val="auto"/>
              </w:rPr>
            </w:pPr>
          </w:p>
        </w:tc>
        <w:tc>
          <w:tcPr>
            <w:tcW w:w="1140" w:type="dxa"/>
            <w:vAlign w:val="bottom"/>
            <w:gridSpan w:val="5"/>
          </w:tcPr>
          <w:p>
            <w:pPr>
              <w:jc w:val="right"/>
              <w:ind w:right="120"/>
              <w:spacing w:after="0"/>
              <w:rPr>
                <w:sz w:val="20"/>
                <w:szCs w:val="20"/>
                <w:color w:val="auto"/>
              </w:rPr>
            </w:pPr>
            <w:r>
              <w:rPr>
                <w:rFonts w:ascii="Arial" w:cs="Arial" w:eastAsia="Arial" w:hAnsi="Arial"/>
                <w:sz w:val="18"/>
                <w:szCs w:val="18"/>
                <w:color w:val="auto"/>
              </w:rPr>
              <w:t>$ 3,206,144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(814,168)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(120,344)</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$ 158,080,110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2,271,632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amortized cost and estimated fair value of the Company’s investments in available-for-sale fixed-maturity securities by contractual maturity as of June 30, 2022 and December 31, 2021 is shown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2021</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1,500,986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1,500,790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1,153,099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1,156,636</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46,709,763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45,176,361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43,007,110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44,914,759</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32,088,366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27,928,816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26,808,853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27,332,581</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21,155,020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17,274,958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26,802,457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26,892,792</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55,228,980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49,616,862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58,036,959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57,783,342</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156,683,115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141,497,787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155,808,478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158,080,110</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 and estimated fair value of, and gross unrealized gains and losses on, investments in equity securities as of June 30, 2022 and December 31, 2021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rPr>
              <w:t>June 30, 2022</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w w:val="99"/>
              </w:rPr>
              <w:t>Gross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4"/>
              </w:rPr>
              <w:t>Gross</w:t>
            </w:r>
          </w:p>
        </w:tc>
        <w:tc>
          <w:tcPr>
            <w:tcW w:w="940" w:type="dxa"/>
            <w:vAlign w:val="bottom"/>
          </w:tcPr>
          <w:p>
            <w:pPr>
              <w:ind w:left="80"/>
              <w:spacing w:after="0" w:line="191" w:lineRule="exact"/>
              <w:rPr>
                <w:sz w:val="20"/>
                <w:szCs w:val="20"/>
                <w:color w:val="auto"/>
              </w:rPr>
            </w:pPr>
            <w:r>
              <w:rPr>
                <w:rFonts w:ascii="Arial" w:cs="Arial" w:eastAsia="Arial" w:hAnsi="Arial"/>
                <w:sz w:val="18"/>
                <w:szCs w:val="18"/>
                <w:b w:val="1"/>
                <w:bCs w:val="1"/>
                <w:color w:val="auto"/>
                <w:w w:val="97"/>
              </w:rPr>
              <w:t>Estimated</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Gains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860" w:type="dxa"/>
            <w:vAlign w:val="bottom"/>
          </w:tcPr>
          <w:p>
            <w:pPr>
              <w:spacing w:after="0"/>
              <w:rPr>
                <w:sz w:val="24"/>
                <w:szCs w:val="24"/>
                <w:color w:val="auto"/>
              </w:rPr>
            </w:pPr>
          </w:p>
        </w:tc>
        <w:tc>
          <w:tcPr>
            <w:tcW w:w="44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$ 18,430,554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175,745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(3,347,910)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$ 15,258,389</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w w:val="93"/>
              </w:rPr>
              <w:t>Common stocks, mutual funds, and exchange traded funds</w:t>
            </w:r>
          </w:p>
        </w:tc>
        <w:tc>
          <w:tcPr>
            <w:tcW w:w="660" w:type="dxa"/>
            <w:vAlign w:val="bottom"/>
            <w:gridSpan w:val="2"/>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11,808,966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392,745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(1,395,555)</w:t>
            </w:r>
          </w:p>
        </w:tc>
        <w:tc>
          <w:tcPr>
            <w:tcW w:w="940" w:type="dxa"/>
            <w:vAlign w:val="bottom"/>
          </w:tcPr>
          <w:p>
            <w:pPr>
              <w:jc w:val="right"/>
              <w:spacing w:after="0"/>
              <w:rPr>
                <w:sz w:val="20"/>
                <w:szCs w:val="20"/>
                <w:color w:val="auto"/>
              </w:rPr>
            </w:pPr>
            <w:r>
              <w:rPr>
                <w:rFonts w:ascii="Arial" w:cs="Arial" w:eastAsia="Arial" w:hAnsi="Arial"/>
                <w:sz w:val="18"/>
                <w:szCs w:val="18"/>
                <w:color w:val="auto"/>
              </w:rPr>
              <w:t>10,806,156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60" w:type="dxa"/>
            <w:vAlign w:val="bottom"/>
            <w:vMerge w:val="continue"/>
          </w:tcPr>
          <w:p>
            <w:pPr>
              <w:spacing w:after="0"/>
              <w:rPr>
                <w:sz w:val="21"/>
                <w:szCs w:val="21"/>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$ 30,239,520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568,490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(4,743,465)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$ 26,064,545</w:t>
            </w:r>
          </w:p>
        </w:tc>
        <w:tc>
          <w:tcPr>
            <w:tcW w:w="100" w:type="dxa"/>
            <w:vAlign w:val="bottom"/>
            <w:shd w:val="clear" w:color="auto" w:fill="CCEEFF"/>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860" w:type="dxa"/>
            <w:vAlign w:val="bottom"/>
            <w:tcBorders>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40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jc w:val="right"/>
              <w:ind w:right="5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300" w:type="dxa"/>
            <w:vAlign w:val="bottom"/>
            <w:gridSpan w:val="3"/>
          </w:tcPr>
          <w:p>
            <w:pPr>
              <w:spacing w:after="0"/>
              <w:rPr>
                <w:sz w:val="20"/>
                <w:szCs w:val="20"/>
                <w:color w:val="auto"/>
              </w:rPr>
            </w:pPr>
            <w:r>
              <w:rPr>
                <w:rFonts w:ascii="Arial" w:cs="Arial" w:eastAsia="Arial" w:hAnsi="Arial"/>
                <w:sz w:val="18"/>
                <w:szCs w:val="18"/>
                <w:i w:val="1"/>
                <w:iCs w:val="1"/>
                <w:color w:val="0000EE"/>
              </w:rPr>
              <w:t>Table of Contents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8"/>
                <w:szCs w:val="18"/>
                <w:b w:val="1"/>
                <w:bCs w:val="1"/>
                <w:color w:val="auto"/>
                <w:w w:val="98"/>
              </w:rPr>
              <w:t>December 31, 2021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w w:val="99"/>
              </w:rPr>
              <w:t>Gross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4"/>
              </w:rPr>
              <w:t>Gross</w:t>
            </w:r>
          </w:p>
        </w:tc>
        <w:tc>
          <w:tcPr>
            <w:tcW w:w="940" w:type="dxa"/>
            <w:vAlign w:val="bottom"/>
          </w:tcPr>
          <w:p>
            <w:pPr>
              <w:ind w:left="80"/>
              <w:spacing w:after="0" w:line="191" w:lineRule="exact"/>
              <w:rPr>
                <w:sz w:val="20"/>
                <w:szCs w:val="20"/>
                <w:color w:val="auto"/>
              </w:rPr>
            </w:pPr>
            <w:r>
              <w:rPr>
                <w:rFonts w:ascii="Arial" w:cs="Arial" w:eastAsia="Arial" w:hAnsi="Arial"/>
                <w:sz w:val="18"/>
                <w:szCs w:val="18"/>
                <w:b w:val="1"/>
                <w:bCs w:val="1"/>
                <w:color w:val="auto"/>
                <w:w w:val="97"/>
              </w:rPr>
              <w:t>Estimated</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Gains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860" w:type="dxa"/>
            <w:vAlign w:val="bottom"/>
          </w:tcPr>
          <w:p>
            <w:pPr>
              <w:spacing w:after="0"/>
              <w:rPr>
                <w:sz w:val="24"/>
                <w:szCs w:val="24"/>
                <w:color w:val="auto"/>
              </w:rPr>
            </w:pPr>
          </w:p>
        </w:tc>
        <w:tc>
          <w:tcPr>
            <w:tcW w:w="44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$ 22,019,509</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1,007,009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(184,617)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$ 22,841,901</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w w:val="93"/>
              </w:rPr>
              <w:t>Common stocks, mutual funds, and exchange traded funds</w:t>
            </w:r>
          </w:p>
        </w:tc>
        <w:tc>
          <w:tcPr>
            <w:tcW w:w="660" w:type="dxa"/>
            <w:vAlign w:val="bottom"/>
            <w:gridSpan w:val="2"/>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15,451,160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1,573,653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(179,712)</w:t>
            </w:r>
          </w:p>
        </w:tc>
        <w:tc>
          <w:tcPr>
            <w:tcW w:w="940" w:type="dxa"/>
            <w:vAlign w:val="bottom"/>
          </w:tcPr>
          <w:p>
            <w:pPr>
              <w:jc w:val="right"/>
              <w:spacing w:after="0"/>
              <w:rPr>
                <w:sz w:val="20"/>
                <w:szCs w:val="20"/>
                <w:color w:val="auto"/>
              </w:rPr>
            </w:pPr>
            <w:r>
              <w:rPr>
                <w:rFonts w:ascii="Arial" w:cs="Arial" w:eastAsia="Arial" w:hAnsi="Arial"/>
                <w:sz w:val="18"/>
                <w:szCs w:val="18"/>
                <w:color w:val="auto"/>
              </w:rPr>
              <w:t>16,845,101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60" w:type="dxa"/>
            <w:vAlign w:val="bottom"/>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$ 37,470,669</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2,580,662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(364,329)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$ 39,687,002</w:t>
            </w:r>
          </w:p>
        </w:tc>
        <w:tc>
          <w:tcPr>
            <w:tcW w:w="100" w:type="dxa"/>
            <w:vAlign w:val="bottom"/>
            <w:shd w:val="clear" w:color="auto" w:fill="CCEEFF"/>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355" w:right="339" w:bottom="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cost and estimated fair value of, and gross gains on, the Company’s other investments as of June 30, 2022 and December 31, 2021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June 30, 2022</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8"/>
              </w:rPr>
              <w:t>December 31, 2021</w:t>
            </w:r>
          </w:p>
        </w:tc>
      </w:tr>
      <w:tr>
        <w:trPr>
          <w:trHeight w:val="191"/>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r>
      <w:tr>
        <w:trPr>
          <w:trHeight w:val="234"/>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Cost</w:t>
            </w:r>
          </w:p>
        </w:tc>
        <w:tc>
          <w:tcPr>
            <w:tcW w:w="16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426"/>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Hedge fund</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$ 3,999,381</w:t>
            </w:r>
          </w:p>
        </w:tc>
        <w:tc>
          <w:tcPr>
            <w:tcW w:w="12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8"/>
              </w:rPr>
              <w:t>$ 1,254,201</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$ 5,253,582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$ 3,999,381</w:t>
            </w:r>
          </w:p>
        </w:tc>
        <w:tc>
          <w:tcPr>
            <w:tcW w:w="10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$ 3,562,034</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$ 7,561,415</w:t>
            </w:r>
          </w:p>
        </w:tc>
      </w:tr>
      <w:tr>
        <w:trPr>
          <w:trHeight w:val="20"/>
        </w:trPr>
        <w:tc>
          <w:tcPr>
            <w:tcW w:w="4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Held-to-Maturity Securities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 or amortized cost and estimated fair value of, and unrealized gross gains and losses on, investments in held-to-maturity fixed-maturity securities as of June 30, 2022 and December 31, 2021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 2022</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86"/>
              </w:rPr>
              <w:t>Gross Unrealized Losses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10"/>
              <w:spacing w:after="0" w:line="205"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Cost or</w:t>
            </w:r>
          </w:p>
        </w:tc>
        <w:tc>
          <w:tcPr>
            <w:tcW w:w="14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Gross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1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79"/>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Gains/</w:t>
            </w:r>
          </w:p>
        </w:tc>
        <w:tc>
          <w:tcPr>
            <w:tcW w:w="0" w:type="dxa"/>
            <w:vAlign w:val="bottom"/>
          </w:tcPr>
          <w:p>
            <w:pPr>
              <w:spacing w:after="0"/>
              <w:rPr>
                <w:sz w:val="1"/>
                <w:szCs w:val="1"/>
                <w:color w:val="auto"/>
              </w:rPr>
            </w:pPr>
          </w:p>
        </w:tc>
      </w:tr>
      <w:tr>
        <w:trPr>
          <w:trHeight w:val="234"/>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Gains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Held-to-Maturity Securities: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$ 1,228,410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86,141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(10,175)</w:t>
            </w:r>
          </w:p>
        </w:tc>
        <w:tc>
          <w:tcPr>
            <w:tcW w:w="10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$ 1,304,376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75,966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Territories and Possessions</w:t>
            </w:r>
          </w:p>
        </w:tc>
        <w:tc>
          <w:tcPr>
            <w:tcW w:w="840" w:type="dxa"/>
            <w:vAlign w:val="bottom"/>
          </w:tcPr>
          <w:p>
            <w:pPr>
              <w:jc w:val="right"/>
              <w:spacing w:after="0"/>
              <w:rPr>
                <w:sz w:val="20"/>
                <w:szCs w:val="20"/>
                <w:color w:val="auto"/>
              </w:rPr>
            </w:pPr>
            <w:r>
              <w:rPr>
                <w:rFonts w:ascii="Arial" w:cs="Arial" w:eastAsia="Arial" w:hAnsi="Arial"/>
                <w:sz w:val="18"/>
                <w:szCs w:val="18"/>
                <w:color w:val="auto"/>
              </w:rPr>
              <w:t>498,378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503,015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Exchange traded debt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304,111</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(29,111)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(29,111)</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Corporate and other bonds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5,737,319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(945,603)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4,831,145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(906,174)</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gridSpan w:val="3"/>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$ 7,768,218</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130,207</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(984,889)</w:t>
            </w:r>
          </w:p>
        </w:tc>
        <w:tc>
          <w:tcPr>
            <w:tcW w:w="100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$ 6,913,536</w:t>
            </w: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 (854,682)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2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740" w:type="dxa"/>
            <w:vAlign w:val="bottom"/>
            <w:gridSpan w:val="3"/>
          </w:tcPr>
          <w:p>
            <w:pPr>
              <w:spacing w:after="0"/>
              <w:rPr>
                <w:sz w:val="20"/>
                <w:szCs w:val="20"/>
                <w:color w:val="auto"/>
              </w:rPr>
            </w:pPr>
            <w:r>
              <w:rPr>
                <w:rFonts w:ascii="Arial" w:cs="Arial" w:eastAsia="Arial" w:hAnsi="Arial"/>
                <w:sz w:val="18"/>
                <w:szCs w:val="18"/>
                <w:i w:val="1"/>
                <w:iCs w:val="1"/>
                <w:color w:val="0000EE"/>
              </w:rPr>
              <w:t>Table of Contents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2021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86"/>
              </w:rPr>
              <w:t>Gross Unrealized Losses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10"/>
              <w:spacing w:after="0" w:line="205"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Cost or</w:t>
            </w:r>
          </w:p>
        </w:tc>
        <w:tc>
          <w:tcPr>
            <w:tcW w:w="14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Gross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1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79"/>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Gains/</w:t>
            </w:r>
          </w:p>
        </w:tc>
        <w:tc>
          <w:tcPr>
            <w:tcW w:w="0" w:type="dxa"/>
            <w:vAlign w:val="bottom"/>
          </w:tcPr>
          <w:p>
            <w:pPr>
              <w:spacing w:after="0"/>
              <w:rPr>
                <w:sz w:val="1"/>
                <w:szCs w:val="1"/>
                <w:color w:val="auto"/>
              </w:rPr>
            </w:pPr>
          </w:p>
        </w:tc>
      </w:tr>
      <w:tr>
        <w:trPr>
          <w:trHeight w:val="234"/>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Gains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Months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Held-to-Maturity Securities: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729,642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209,633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939,275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209,633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6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Territories and Possessions</w:t>
            </w:r>
          </w:p>
        </w:tc>
        <w:tc>
          <w:tcPr>
            <w:tcW w:w="840" w:type="dxa"/>
            <w:vAlign w:val="bottom"/>
          </w:tcPr>
          <w:p>
            <w:pPr>
              <w:jc w:val="right"/>
              <w:spacing w:after="0"/>
              <w:rPr>
                <w:sz w:val="20"/>
                <w:szCs w:val="20"/>
                <w:color w:val="auto"/>
              </w:rPr>
            </w:pPr>
            <w:r>
              <w:rPr>
                <w:rFonts w:ascii="Arial" w:cs="Arial" w:eastAsia="Arial" w:hAnsi="Arial"/>
                <w:sz w:val="18"/>
                <w:szCs w:val="18"/>
                <w:color w:val="auto"/>
              </w:rPr>
              <w:t>998,239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22,856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1,021,095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22,856</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Exchange traded debt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304,111</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(13,921)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290,275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(13,836)</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Corporate and other bonds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6,234,342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280,951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(12,779)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6,502,514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268,172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3"/>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$ 8,266,334</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513,525</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(26,700)</w:t>
            </w:r>
          </w:p>
        </w:tc>
        <w:tc>
          <w:tcPr>
            <w:tcW w:w="100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$ 8,753,159</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486,825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funds requirements.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amortized cost and estimated fair value of the Company’s investments in held-to-maturity securities by contractual maturity as of June 30, 2022 and December 31, 2021 is shown below:</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June 30, 2022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ind w:left="160"/>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7"/>
              </w:rPr>
              <w:t>Amortized</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7"/>
              </w:rPr>
              <w:t>Estimated</w:t>
            </w:r>
          </w:p>
        </w:tc>
        <w:tc>
          <w:tcPr>
            <w:tcW w:w="180" w:type="dxa"/>
            <w:vAlign w:val="bottom"/>
          </w:tcPr>
          <w:p>
            <w:pPr>
              <w:spacing w:after="0"/>
              <w:rPr>
                <w:sz w:val="16"/>
                <w:szCs w:val="16"/>
                <w:color w:val="auto"/>
              </w:rPr>
            </w:pPr>
          </w:p>
        </w:tc>
        <w:tc>
          <w:tcPr>
            <w:tcW w:w="9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7"/>
              </w:rPr>
              <w:t>Amortized</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w w:val="97"/>
              </w:rPr>
              <w:t>Estimated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Fair Value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459,032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497,110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1,008,180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One to five years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1,246,206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1,246,690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1,205,829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1,290,465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1,519,749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1,370,950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1,513,942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1,648,808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More than 10 years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4,543,231</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3,798,786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4,551,851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4,805,706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7,768,218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6,913,536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8,266,334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8,753,159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341" w:right="339" w:bottom="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the Company’s net investment income are summarized as follows: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2"/>
              </w:rPr>
              <w:t>Three months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9"/>
              </w:rPr>
              <w:t>Six months ended</w:t>
            </w:r>
          </w:p>
        </w:tc>
      </w:t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r>
      <w:tr>
        <w:trPr>
          <w:trHeight w:val="426"/>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Income:</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Fixed-maturity securities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457,941</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1,459,342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1,598,130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2,950,469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279,562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351,100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624,730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708,411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investments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(42,908)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(42,908)</w:t>
            </w: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740,486</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1,768,168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2,226,026</w:t>
            </w: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3,617,530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expenses</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106,161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90,093</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232,601</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156,259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634,325</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1,678,075</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1,993,425</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3,461,271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Proceeds from the redemption of fixed-maturity securities held-to-maturity were $1,000,000 and $625,000 for the six months ended June 30, 2022 and 2021, respectively.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Proceeds from the sale or maturity of fixed-maturity securities available-for-sale were $13,228,270 and $22,276,142 for the six months ended June 30,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sale of equity securities were $7,644,267 and $9,569,363 for the six months ended June 30, 2022 and 2021,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6060" w:type="dxa"/>
            <w:vAlign w:val="bottom"/>
            <w:gridSpan w:val="2"/>
          </w:tcPr>
          <w:p>
            <w:pPr>
              <w:spacing w:after="0"/>
              <w:rPr>
                <w:sz w:val="20"/>
                <w:szCs w:val="20"/>
                <w:color w:val="auto"/>
              </w:rPr>
            </w:pPr>
            <w:r>
              <w:rPr>
                <w:rFonts w:ascii="Arial" w:cs="Arial" w:eastAsia="Arial" w:hAnsi="Arial"/>
                <w:sz w:val="18"/>
                <w:szCs w:val="18"/>
                <w:color w:val="auto"/>
                <w:w w:val="97"/>
              </w:rPr>
              <w:t>The Company’s net (losses) gains on investments are summarized as follows: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3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Realized Gains (Losses)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17,311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367,756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102,411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777,296</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Gross realized losses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(27,666)</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(26,255)</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(154,091)</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(41,499)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(10,355)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341,501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(51,680)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735,797</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Gross realized gains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29,047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442,798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477,353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1,375,948</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(307,352)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(67,276)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(636,573)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(267,488)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(278,305)</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375,522</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(159,220)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1,108,460</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Net realized (losses) gains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(288,660)</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717,023</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(210,900)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1,844,257</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Unrealized (Losses) Gains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gains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920,863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1,924,072</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Gross losses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(2,856,412)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(6,417,045)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(2,856,412)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920,863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(6,417,045)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1,924,072</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Investments: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Gross gains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677,375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1,507,339</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losses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(1,372,301)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(2,287,833)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(1,372,301)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677,375</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(2,287,833)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1,507,339</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Net unrealized (losses) gains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(4,228,713)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1,598,238</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(8,704,878)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3,431,411</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Net (losses) gains on investments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(4,517,373)</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2,315,261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(8,915,778)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5,275,668</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Impairment Review</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0" w:gutter="0" w:footer="0" w:header="0"/>
        </w:sectPr>
      </w:pPr>
    </w:p>
    <w:bookmarkStart w:id="11" w:name="page12"/>
    <w:bookmarkEnd w:id="11"/>
    <w:p>
      <w:pPr>
        <w:spacing w:after="0" w:line="3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Impairment of investment securities results in a charge to operations when a market decline below cost is deemed to be other-than-temporary. The Company regularly reviews its fixed-maturity securities to evaluate the necessity of recording impairment losses for other-than-temporary declines in the estimated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comprehensive loss. The credit loss component recognized in earnings is identified as the amount of principal cash flows not expected to be received over the remaining term of the security based on cash flow projections. For held-to-maturity fixed-maturity securities, the amount of OTTI recorded in comprehensive loss for the noncredit portion of a previous OTTI is amortized prospectively over the remaining life of the security based on timing of future estimated cash flows of the security.</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OTTI losses are recorded in the consolidated statements of operations and comprehensive (loss) income as net realized losses on investments and result in a permanent reduction of the cost basis of the underlying investment. The determination of OTTI is a subjective process and different judgments and assumptions could affect the timing of loss realization. At June 30, 2022 and December 31, 2021, there were 146 and 48 fixed-maturity securities, respectively, that accounted for the gross unrealized losses. The Company determined that none of the unrealized losses were deemed to be OTTI for its portfolio of investments as of June 30, 2022 and December 31, 2021. Significant factors influencing the Company’s determination that unrealized losses were temporary included credit quality considerations, the magnitude of the unrealized losses in relation to each security’s cost, the nature of the investment and interest rate environment factors, and management’s intent and ability to hold the investment for a period of time sufficient to allow for an anticipated recovery of estimated fair value to the Company’s cost basis.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held available-for-sale securities with unrealized losses representing declines that were considered temporary at June 30, 2022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b w:val="1"/>
                <w:bCs w:val="1"/>
                <w:color w:val="auto"/>
              </w:rPr>
              <w:t>June 30, 2022</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Less than 12 months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12 months or more</w:t>
            </w:r>
          </w:p>
        </w:tc>
        <w:tc>
          <w:tcPr>
            <w:tcW w:w="1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20" w:type="dxa"/>
            <w:vAlign w:val="bottom"/>
          </w:tcPr>
          <w:p>
            <w:pPr>
              <w:spacing w:after="0"/>
              <w:rPr>
                <w:sz w:val="16"/>
                <w:szCs w:val="16"/>
                <w:color w:val="auto"/>
              </w:rPr>
            </w:pPr>
          </w:p>
        </w:tc>
        <w:tc>
          <w:tcPr>
            <w:tcW w:w="1060" w:type="dxa"/>
            <w:vAlign w:val="bottom"/>
            <w:tcBorders>
              <w:top w:val="single" w:sz="8" w:color="auto"/>
            </w:tcBorders>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Fair</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6"/>
              </w:rPr>
              <w:t>Unrealized</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8"/>
              </w:rPr>
              <w:t>Unrealized</w:t>
            </w:r>
          </w:p>
        </w:tc>
        <w:tc>
          <w:tcPr>
            <w:tcW w:w="0" w:type="dxa"/>
            <w:vAlign w:val="bottom"/>
          </w:tcPr>
          <w:p>
            <w:pPr>
              <w:spacing w:after="0"/>
              <w:rPr>
                <w:sz w:val="1"/>
                <w:szCs w:val="1"/>
                <w:color w:val="auto"/>
              </w:rPr>
            </w:pPr>
          </w:p>
        </w:tc>
      </w:tr>
      <w:tr>
        <w:trPr>
          <w:trHeight w:val="234"/>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Losses</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Held</w:t>
            </w:r>
          </w:p>
        </w:tc>
        <w:tc>
          <w:tcPr>
            <w:tcW w:w="10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3"/>
              </w:rPr>
              <w:t>Losses</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Held</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Losses</w:t>
            </w:r>
          </w:p>
        </w:tc>
        <w:tc>
          <w:tcPr>
            <w:tcW w:w="0" w:type="dxa"/>
            <w:vAlign w:val="bottom"/>
          </w:tcPr>
          <w:p>
            <w:pPr>
              <w:spacing w:after="0"/>
              <w:rPr>
                <w:sz w:val="1"/>
                <w:szCs w:val="1"/>
                <w:color w:val="auto"/>
              </w:rPr>
            </w:pPr>
          </w:p>
        </w:tc>
      </w:tr>
      <w:tr>
        <w:trPr>
          <w:trHeight w:val="425"/>
        </w:trPr>
        <w:tc>
          <w:tcPr>
            <w:tcW w:w="23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obligations of U.S. government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Political subdivisions of States,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14,197,788</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(3,020,486)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14,197,788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(3,020,486)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76,672,772</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(6,562,506)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76,672,772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(6,562,506)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Residential mortgage and 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45,843,567</w:t>
            </w:r>
          </w:p>
        </w:tc>
        <w:tc>
          <w:tcPr>
            <w:tcW w:w="10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9"/>
              </w:rPr>
              <w:t>(5,387,294)</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89"/>
              </w:rPr>
              <w:t>2,724,188</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5"/>
              </w:rPr>
              <w:t>(339,668)</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48,567,755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(5,726,962)</w:t>
            </w:r>
          </w:p>
        </w:tc>
        <w:tc>
          <w:tcPr>
            <w:tcW w:w="0" w:type="dxa"/>
            <w:vAlign w:val="bottom"/>
          </w:tcPr>
          <w:p>
            <w:pPr>
              <w:spacing w:after="0"/>
              <w:rPr>
                <w:sz w:val="1"/>
                <w:szCs w:val="1"/>
                <w:color w:val="auto"/>
              </w:rPr>
            </w:pPr>
          </w:p>
        </w:tc>
      </w:tr>
      <w:tr>
        <w:trPr>
          <w:trHeight w:val="217"/>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Total fixed-maturity securities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136,714,127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(14,970,286)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2,724,188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(339,668)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139,438,315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(15,309,954)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held available-for-sale securities with unrealized losses representing declines that were considered temporary at December 31, 2021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b w:val="1"/>
                <w:bCs w:val="1"/>
                <w:color w:val="auto"/>
                <w:w w:val="94"/>
              </w:rPr>
              <w:t>December 31, 2021</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8"/>
          </w:tcPr>
          <w:p>
            <w:pPr>
              <w:jc w:val="right"/>
              <w:ind w:right="78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7"/>
          </w:tcPr>
          <w:p>
            <w:pPr>
              <w:ind w:left="60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ind w:left="68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4"/>
          </w:tcPr>
          <w:p>
            <w:pPr>
              <w:ind w:left="120"/>
              <w:spacing w:after="0"/>
              <w:rPr>
                <w:sz w:val="20"/>
                <w:szCs w:val="20"/>
                <w:color w:val="auto"/>
              </w:rPr>
            </w:pPr>
            <w:r>
              <w:rPr>
                <w:rFonts w:ascii="Arial" w:cs="Arial" w:eastAsia="Arial" w:hAnsi="Arial"/>
                <w:sz w:val="18"/>
                <w:szCs w:val="18"/>
                <w:b w:val="1"/>
                <w:bCs w:val="1"/>
                <w:color w:val="auto"/>
              </w:rPr>
              <w:t>Unrealized</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Fair</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3"/>
              </w:rPr>
              <w:t>Losses</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Losses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3"/>
              </w:rPr>
              <w:t>Losses</w:t>
            </w:r>
          </w:p>
        </w:tc>
        <w:tc>
          <w:tcPr>
            <w:tcW w:w="0" w:type="dxa"/>
            <w:vAlign w:val="bottom"/>
          </w:tcPr>
          <w:p>
            <w:pPr>
              <w:spacing w:after="0"/>
              <w:rPr>
                <w:sz w:val="1"/>
                <w:szCs w:val="1"/>
                <w:color w:val="auto"/>
              </w:rPr>
            </w:pPr>
          </w:p>
        </w:tc>
      </w:tr>
      <w:tr>
        <w:trPr>
          <w:trHeight w:val="426"/>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Fixed-Maturity Securities: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6,768,123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(197,984)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6,768,123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(197,984)</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Corporate and other bonds industrial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and miscellaneous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17,593,707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(126,926)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17,593,707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(126,926)</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Residential mortgage and other asset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45,399,451</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5"/>
              </w:rPr>
              <w:t>(489,258)</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9"/>
              </w:rPr>
              <w:t>2,923,182</w:t>
            </w:r>
          </w:p>
        </w:tc>
        <w:tc>
          <w:tcPr>
            <w:tcW w:w="11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(120,344)</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8"/>
              </w:rPr>
              <w:t>48,322,633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5"/>
              </w:rPr>
              <w:t>(609,602)</w:t>
            </w:r>
          </w:p>
        </w:tc>
        <w:tc>
          <w:tcPr>
            <w:tcW w:w="0" w:type="dxa"/>
            <w:vAlign w:val="bottom"/>
          </w:tcPr>
          <w:p>
            <w:pPr>
              <w:spacing w:after="0"/>
              <w:rPr>
                <w:sz w:val="1"/>
                <w:szCs w:val="1"/>
                <w:color w:val="auto"/>
              </w:rPr>
            </w:pPr>
          </w:p>
        </w:tc>
      </w:tr>
      <w:tr>
        <w:trPr>
          <w:trHeight w:val="217"/>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backed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140" w:type="dxa"/>
            <w:vAlign w:val="bottom"/>
            <w:gridSpan w:val="3"/>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8" w:orient="portrait"/>
          <w:cols w:equalWidth="0" w:num="1">
            <w:col w:w="11240"/>
          </w:cols>
          <w:pgMar w:left="320" w:top="125"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69,761,281</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(814,168)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$ 2,923,182</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(120,344)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72,684,463</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(934,512)</w:t>
            </w:r>
          </w:p>
        </w:tc>
      </w:tr>
      <w:tr>
        <w:trPr>
          <w:trHeight w:val="20"/>
        </w:trPr>
        <w:tc>
          <w:tcPr>
            <w:tcW w:w="25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about the Company’s investments that are measured at fair value on a recurring basis at June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indicating the fair value hierarchy of the valuation inputs the Company utilized to determine such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June 30, 2022</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425"/>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6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 U.S. government corporations and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14,197,788</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14,197,788</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77,185,757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497,380</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77,683,137</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49,616,862</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49,616,862</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maturities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77,185,757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64,312,030</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141,497,787</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26,064,545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26,064,545</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103,250,302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64,312,030</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167,562,332</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425"/>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6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 U.S. government corporations and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17,285,514</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17,285,514</w:t>
            </w: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82,500,779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510,475</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83,011,254</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57,783,342</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57,783,342</w:t>
            </w:r>
          </w:p>
        </w:tc>
      </w:tr>
      <w:tr>
        <w:trPr>
          <w:trHeight w:val="20"/>
        </w:trPr>
        <w:tc>
          <w:tcPr>
            <w:tcW w:w="1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fixed maturities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82,500,779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75,579,331</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158,080,110</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Equity securities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39,687,002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39,687,002</w:t>
            </w:r>
          </w:p>
        </w:tc>
      </w:tr>
      <w:tr>
        <w:trPr>
          <w:trHeight w:val="20"/>
        </w:trPr>
        <w:tc>
          <w:tcPr>
            <w:tcW w:w="1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122,187,781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75,579,331</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197,767,112</w:t>
            </w:r>
          </w:p>
        </w:tc>
      </w:tr>
      <w:tr>
        <w:trPr>
          <w:trHeight w:val="628"/>
        </w:trPr>
        <w:tc>
          <w:tcPr>
            <w:tcW w:w="5940" w:type="dxa"/>
            <w:vAlign w:val="bottom"/>
            <w:tcBorders>
              <w:top w:val="single" w:sz="8" w:color="CCEEFF"/>
              <w:bottom w:val="single" w:sz="8" w:color="auto"/>
            </w:tcBorders>
            <w:gridSpan w:val="2"/>
          </w:tcPr>
          <w:p>
            <w:pPr>
              <w:ind w:left="5540"/>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47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the Company’s investment in a hedge fund measured at Net Asset Value (“NAV”) per share as of June 30, 2022 and December 31, 2021. The Company measures this investment at fair value on a recurring basis. Fair value using NAV per share is as follows as of the dates indicated:</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86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93"/>
              </w:rPr>
              <w:t>June 30, 2022   December 31, 2021</w:t>
            </w:r>
          </w:p>
        </w:tc>
      </w:tr>
      <w:tr>
        <w:trPr>
          <w:trHeight w:val="425"/>
        </w:trPr>
        <w:tc>
          <w:tcPr>
            <w:tcW w:w="6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Other Investments</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Hedge fund</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5,253,582</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7,561,415</w:t>
            </w:r>
          </w:p>
        </w:tc>
        <w:tc>
          <w:tcPr>
            <w:tcW w:w="100" w:type="dxa"/>
            <w:vAlign w:val="bottom"/>
            <w:shd w:val="clear" w:color="auto" w:fill="CCEEFF"/>
          </w:tcPr>
          <w:p>
            <w:pPr>
              <w:spacing w:after="0"/>
              <w:rPr>
                <w:sz w:val="20"/>
                <w:szCs w:val="20"/>
                <w:color w:val="auto"/>
              </w:rPr>
            </w:pPr>
          </w:p>
        </w:tc>
      </w:tr>
      <w:tr>
        <w:trPr>
          <w:trHeight w:val="20"/>
        </w:trPr>
        <w:tc>
          <w:tcPr>
            <w:tcW w:w="6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condensed consolidated statements of operations and comprehensive loss within net (losses) gains on investments.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estimated fair value and the level of the fair value hierarchy of the Company’s long-term debt as of June 30, 2022 and December 31, 2021 not measured at fair value is as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90"/>
              </w:rPr>
              <w:t>June 30, 2022</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8"/>
                <w:szCs w:val="18"/>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98"/>
              </w:rPr>
              <w:t>Level 3</w:t>
            </w:r>
          </w:p>
        </w:tc>
        <w:tc>
          <w:tcPr>
            <w:tcW w:w="1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Senior Notes due 2022</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$ 29,207,543</w:t>
            </w:r>
          </w:p>
        </w:tc>
        <w:tc>
          <w:tcPr>
            <w:tcW w:w="10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$ 29,207,543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90"/>
              </w:rPr>
              <w:t>December 31, 2021</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8"/>
                <w:szCs w:val="18"/>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98"/>
              </w:rPr>
              <w:t>Level 3</w:t>
            </w:r>
          </w:p>
        </w:tc>
        <w:tc>
          <w:tcPr>
            <w:tcW w:w="1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125730</wp:posOffset>
            </wp:positionV>
            <wp:extent cx="6060440" cy="13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60440" cy="13970"/>
                    </a:xfrm>
                    <a:prstGeom prst="rect">
                      <a:avLst/>
                    </a:prstGeom>
                    <a:noFill/>
                  </pic:spPr>
                </pic:pic>
              </a:graphicData>
            </a:graphic>
          </wp:anchor>
        </w:drawing>
      </w:r>
    </w:p>
    <w:p>
      <w:pPr>
        <w:sectPr>
          <w:pgSz w:w="11900" w:h="16838" w:orient="portrait"/>
          <w:cols w:equalWidth="0" w:num="1">
            <w:col w:w="11240"/>
          </w:cols>
          <w:pgMar w:left="320" w:top="356" w:right="339" w:bottom="0" w:gutter="0" w:footer="0" w:header="0"/>
        </w:sectPr>
      </w:pPr>
    </w:p>
    <w:bookmarkStart w:id="13" w:name="page14"/>
    <w:bookmarkEnd w:id="13"/>
    <w:p>
      <w:pPr>
        <w:spacing w:after="0" w:line="62" w:lineRule="exact"/>
        <w:rPr>
          <w:sz w:val="20"/>
          <w:szCs w:val="20"/>
          <w:color w:val="auto"/>
        </w:rPr>
      </w:pPr>
    </w:p>
    <w:p>
      <w:pPr>
        <w:ind w:left="860"/>
        <w:spacing w:after="0"/>
        <w:tabs>
          <w:tab w:leader="none" w:pos="5940" w:val="left"/>
          <w:tab w:leader="none" w:pos="6820" w:val="left"/>
          <w:tab w:leader="none" w:pos="7060" w:val="left"/>
          <w:tab w:leader="none" w:pos="8200" w:val="left"/>
          <w:tab w:leader="none" w:pos="9080" w:val="left"/>
          <w:tab w:leader="none" w:pos="9340" w:val="left"/>
        </w:tabs>
        <w:rPr>
          <w:sz w:val="20"/>
          <w:szCs w:val="20"/>
          <w:color w:val="auto"/>
        </w:rPr>
      </w:pPr>
      <w:r>
        <w:rPr>
          <w:rFonts w:ascii="Arial" w:cs="Arial" w:eastAsia="Arial" w:hAnsi="Arial"/>
          <w:sz w:val="18"/>
          <w:szCs w:val="18"/>
          <w:color w:val="auto"/>
        </w:rPr>
        <w:t>Senior Notes due 2022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$ 28,436,019</w:t>
        <w:tab/>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$ 28,436,019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-121920</wp:posOffset>
            </wp:positionV>
            <wp:extent cx="606044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of Financial Instruments and Real Estate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estimated fair values of the Company’s financial instruments and real estate, including their fair value level as of June 30, 2022 and December 31, 2021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June 30, 2022</w:t>
            </w:r>
          </w:p>
        </w:tc>
        <w:tc>
          <w:tcPr>
            <w:tcW w:w="140" w:type="dxa"/>
            <w:vAlign w:val="bottom"/>
          </w:tcPr>
          <w:p>
            <w:pPr>
              <w:spacing w:after="0"/>
              <w:rPr>
                <w:sz w:val="20"/>
                <w:szCs w:val="20"/>
                <w:color w:val="auto"/>
              </w:rPr>
            </w:pPr>
          </w:p>
        </w:tc>
        <w:tc>
          <w:tcPr>
            <w:tcW w:w="240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December 31, 2021</w:t>
            </w:r>
          </w:p>
        </w:tc>
      </w:tr>
      <w:tr>
        <w:trPr>
          <w:trHeight w:val="191"/>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7"/>
              </w:rPr>
              <w:t>Carrying</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Fixed-maturity securities-held-to maturity, Level 1</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7,768,218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6,913,536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8,266,334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8,753,159</w:t>
            </w: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Cash and cash equivalents, Level 1</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13,200,128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13,200,128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24,290,598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24,290,598</w:t>
            </w: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receivable, net, Level 3</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11,994,265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11,994,265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12,318,336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12,318,336</w:t>
            </w: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Reinsurance receivables, net, Level 3</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54,652,171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54,652,171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40,292,438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40,292,438</w:t>
            </w: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net of accumulated depreciation, Level 3</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2,107,592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3,025,000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2,144,464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3,025,000</w:t>
            </w:r>
          </w:p>
        </w:tc>
      </w:t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rPr>
              <w:t>Reinsurance balances payable, Level 3</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10,877,113</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10,877,113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12,961,568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12,961,568</w:t>
            </w:r>
          </w:p>
        </w:tc>
      </w:tr>
      <w:tr>
        <w:trPr>
          <w:trHeight w:val="634"/>
        </w:trPr>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3440" w:type="dxa"/>
            <w:vAlign w:val="bottom"/>
            <w:gridSpan w:val="2"/>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Note 6 – Property and Casualty Insurance Activity</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Premiums Earned</w:t>
            </w: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720" w:type="dxa"/>
            <w:vAlign w:val="bottom"/>
            <w:gridSpan w:val="3"/>
          </w:tcPr>
          <w:p>
            <w:pPr>
              <w:spacing w:after="0"/>
              <w:rPr>
                <w:sz w:val="20"/>
                <w:szCs w:val="20"/>
                <w:color w:val="auto"/>
              </w:rPr>
            </w:pPr>
            <w:r>
              <w:rPr>
                <w:rFonts w:ascii="Arial" w:cs="Arial" w:eastAsia="Arial" w:hAnsi="Arial"/>
                <w:sz w:val="18"/>
                <w:szCs w:val="18"/>
                <w:color w:val="auto"/>
              </w:rPr>
              <w:t>Premiums written, ceded and earned are as follows: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Direct</w:t>
            </w:r>
          </w:p>
        </w:tc>
        <w:tc>
          <w:tcPr>
            <w:tcW w:w="12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Assumed</w:t>
            </w:r>
          </w:p>
        </w:tc>
        <w:tc>
          <w:tcPr>
            <w:tcW w:w="1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Ceded</w:t>
            </w:r>
          </w:p>
        </w:tc>
        <w:tc>
          <w:tcPr>
            <w:tcW w:w="120" w:type="dxa"/>
            <w:vAlign w:val="bottom"/>
          </w:tcPr>
          <w:p>
            <w:pPr>
              <w:spacing w:after="0"/>
              <w:rPr>
                <w:sz w:val="24"/>
                <w:szCs w:val="2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Net</w:t>
            </w:r>
          </w:p>
        </w:tc>
      </w:tr>
      <w:tr>
        <w:trPr>
          <w:trHeight w:val="426"/>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Six months ended June 30, 2022</w:t>
            </w:r>
          </w:p>
        </w:tc>
        <w:tc>
          <w:tcPr>
            <w:tcW w:w="1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Premiums written</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92,762,360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(37,818,392)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54,943,968</w:t>
            </w:r>
          </w:p>
        </w:tc>
      </w:tr>
      <w:tr>
        <w:trPr>
          <w:trHeight w:val="216"/>
        </w:trPr>
        <w:tc>
          <w:tcPr>
            <w:tcW w:w="4720" w:type="dxa"/>
            <w:vAlign w:val="bottom"/>
            <w:gridSpan w:val="3"/>
          </w:tcPr>
          <w:p>
            <w:pPr>
              <w:ind w:left="220"/>
              <w:spacing w:after="0"/>
              <w:rPr>
                <w:sz w:val="20"/>
                <w:szCs w:val="20"/>
                <w:color w:val="auto"/>
              </w:rPr>
            </w:pPr>
            <w:r>
              <w:rPr>
                <w:rFonts w:ascii="Arial" w:cs="Arial" w:eastAsia="Arial" w:hAnsi="Arial"/>
                <w:sz w:val="18"/>
                <w:szCs w:val="18"/>
                <w:color w:val="auto"/>
              </w:rPr>
              <w:t>Change in unearned premiums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(393,353)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24,833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(368,520)</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Premiums earned</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92,369,007</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(37,793,559)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54,575,448</w:t>
            </w:r>
          </w:p>
        </w:tc>
      </w:tr>
      <w:tr>
        <w:trPr>
          <w:trHeight w:val="197"/>
        </w:trPr>
        <w:tc>
          <w:tcPr>
            <w:tcW w:w="1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2021</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3"/>
          </w:tcPr>
          <w:p>
            <w:pPr>
              <w:ind w:left="220"/>
              <w:spacing w:after="0"/>
              <w:rPr>
                <w:sz w:val="20"/>
                <w:szCs w:val="20"/>
                <w:color w:val="auto"/>
              </w:rPr>
            </w:pPr>
            <w:r>
              <w:rPr>
                <w:rFonts w:ascii="Arial" w:cs="Arial" w:eastAsia="Arial" w:hAnsi="Arial"/>
                <w:sz w:val="18"/>
                <w:szCs w:val="18"/>
                <w:color w:val="auto"/>
              </w:rPr>
              <w:t>Premiums written</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82,744,761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(14,630,872)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68,113,889</w:t>
            </w:r>
          </w:p>
        </w:tc>
      </w:tr>
      <w:tr>
        <w:trPr>
          <w:trHeight w:val="216"/>
        </w:trPr>
        <w:tc>
          <w:tcPr>
            <w:tcW w:w="4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1,936,706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(24,951)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1,911,755</w:t>
            </w:r>
          </w:p>
        </w:tc>
      </w:tr>
      <w:tr>
        <w:trPr>
          <w:trHeight w:val="20"/>
        </w:trPr>
        <w:tc>
          <w:tcPr>
            <w:tcW w:w="1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20" w:type="dxa"/>
            <w:vAlign w:val="bottom"/>
            <w:gridSpan w:val="3"/>
          </w:tcPr>
          <w:p>
            <w:pPr>
              <w:ind w:left="220"/>
              <w:spacing w:after="0"/>
              <w:rPr>
                <w:sz w:val="20"/>
                <w:szCs w:val="20"/>
                <w:color w:val="auto"/>
              </w:rPr>
            </w:pPr>
            <w:r>
              <w:rPr>
                <w:rFonts w:ascii="Arial" w:cs="Arial" w:eastAsia="Arial" w:hAnsi="Arial"/>
                <w:sz w:val="18"/>
                <w:szCs w:val="18"/>
                <w:color w:val="auto"/>
              </w:rPr>
              <w:t>Premiums earned</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84,681,467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(14,655,823)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70,025,644</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 June 30, 2022</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Premiums written</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49,778,463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(19,752,683)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30,025,780</w:t>
            </w:r>
          </w:p>
        </w:tc>
      </w:tr>
      <w:tr>
        <w:trPr>
          <w:trHeight w:val="216"/>
        </w:trPr>
        <w:tc>
          <w:tcPr>
            <w:tcW w:w="4720" w:type="dxa"/>
            <w:vAlign w:val="bottom"/>
            <w:gridSpan w:val="3"/>
          </w:tcPr>
          <w:p>
            <w:pPr>
              <w:ind w:left="220"/>
              <w:spacing w:after="0"/>
              <w:rPr>
                <w:sz w:val="20"/>
                <w:szCs w:val="20"/>
                <w:color w:val="auto"/>
              </w:rPr>
            </w:pPr>
            <w:r>
              <w:rPr>
                <w:rFonts w:ascii="Arial" w:cs="Arial" w:eastAsia="Arial" w:hAnsi="Arial"/>
                <w:sz w:val="18"/>
                <w:szCs w:val="18"/>
                <w:color w:val="auto"/>
              </w:rPr>
              <w:t>Change in unearned premiums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(2,786,080)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662,368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(2,123,712)</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Premiums earned</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46,992,383</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(19,090,315)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27,902,068</w:t>
            </w:r>
          </w:p>
        </w:tc>
      </w:tr>
      <w:tr>
        <w:trPr>
          <w:trHeight w:val="196"/>
        </w:trPr>
        <w:tc>
          <w:tcPr>
            <w:tcW w:w="1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2021</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3"/>
          </w:tcPr>
          <w:p>
            <w:pPr>
              <w:ind w:left="220"/>
              <w:spacing w:after="0"/>
              <w:rPr>
                <w:sz w:val="20"/>
                <w:szCs w:val="20"/>
                <w:color w:val="auto"/>
              </w:rPr>
            </w:pPr>
            <w:r>
              <w:rPr>
                <w:rFonts w:ascii="Arial" w:cs="Arial" w:eastAsia="Arial" w:hAnsi="Arial"/>
                <w:sz w:val="18"/>
                <w:szCs w:val="18"/>
                <w:color w:val="auto"/>
              </w:rPr>
              <w:t>Premiums written</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44,615,644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(7,301,365)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37,314,279</w:t>
            </w:r>
          </w:p>
        </w:tc>
      </w:tr>
      <w:tr>
        <w:trPr>
          <w:trHeight w:val="216"/>
        </w:trPr>
        <w:tc>
          <w:tcPr>
            <w:tcW w:w="4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(1,852,772)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(25,081)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(1,877,853)</w:t>
            </w:r>
          </w:p>
        </w:tc>
      </w:tr>
      <w:tr>
        <w:trPr>
          <w:trHeight w:val="20"/>
        </w:trPr>
        <w:tc>
          <w:tcPr>
            <w:tcW w:w="1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720" w:type="dxa"/>
            <w:vAlign w:val="bottom"/>
            <w:gridSpan w:val="3"/>
          </w:tcPr>
          <w:p>
            <w:pPr>
              <w:ind w:left="220"/>
              <w:spacing w:after="0"/>
              <w:rPr>
                <w:sz w:val="20"/>
                <w:szCs w:val="20"/>
                <w:color w:val="auto"/>
              </w:rPr>
            </w:pPr>
            <w:r>
              <w:rPr>
                <w:rFonts w:ascii="Arial" w:cs="Arial" w:eastAsia="Arial" w:hAnsi="Arial"/>
                <w:sz w:val="18"/>
                <w:szCs w:val="18"/>
                <w:color w:val="auto"/>
              </w:rPr>
              <w:t>Premiums earned</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42,762,872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(7,326,446)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35,436,426</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Premium receipts in advance of the policy effective date are recorded as advance premiums. The balance of advance premiums as of June 30, 2022 and December 31, 2021 was $5,773,444 and $2,693,466,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Loss Adjustment Expense Reserves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beginning and ending balances for unpaid losses and loss adjustment expense (“LAE”) reserves:</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2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$ 94,948,745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$ 82,801,228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Less reinsurance recoverables</w:t>
            </w:r>
          </w:p>
        </w:tc>
        <w:tc>
          <w:tcPr>
            <w:tcW w:w="24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(10,637,679)</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(20,154,251)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 beginning of period</w:t>
            </w:r>
          </w:p>
        </w:tc>
        <w:tc>
          <w:tcPr>
            <w:tcW w:w="2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84,311,066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62,646,977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2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Current year</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41,326,838</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43,328,342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Prior years</w:t>
            </w:r>
          </w:p>
        </w:tc>
        <w:tc>
          <w:tcPr>
            <w:tcW w:w="2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(8,460)</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48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 incurred</w:t>
            </w:r>
          </w:p>
        </w:tc>
        <w:tc>
          <w:tcPr>
            <w:tcW w:w="2480" w:type="dxa"/>
            <w:vAlign w:val="bottom"/>
            <w:tcBorders>
              <w:top w:val="single" w:sz="8" w:color="CCEEFF"/>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41,597,239</w:t>
            </w:r>
          </w:p>
        </w:tc>
        <w:tc>
          <w:tcPr>
            <w:tcW w:w="120" w:type="dxa"/>
            <w:vAlign w:val="bottom"/>
            <w:tcBorders>
              <w:top w:val="single" w:sz="8" w:color="CCEEFF"/>
              <w:bottom w:val="single" w:sz="8" w:color="CCEEFF"/>
            </w:tcBorders>
          </w:tcPr>
          <w:p>
            <w:pPr>
              <w:spacing w:after="0"/>
              <w:rPr>
                <w:sz w:val="19"/>
                <w:szCs w:val="19"/>
                <w:color w:val="auto"/>
              </w:rPr>
            </w:pPr>
          </w:p>
        </w:tc>
        <w:tc>
          <w:tcPr>
            <w:tcW w:w="80" w:type="dxa"/>
            <w:vAlign w:val="bottom"/>
            <w:tcBorders>
              <w:top w:val="single" w:sz="8" w:color="CCEEFF"/>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43,319,882</w:t>
            </w:r>
          </w:p>
        </w:tc>
        <w:tc>
          <w:tcPr>
            <w:tcW w:w="10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14" w:name="page15"/>
    <w:bookmarkEnd w:id="14"/>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Paid related to:</w:t>
            </w:r>
          </w:p>
        </w:tc>
        <w:tc>
          <w:tcPr>
            <w:tcW w:w="2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23,188,157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19,716,893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Prior years</w:t>
            </w:r>
          </w:p>
        </w:tc>
        <w:tc>
          <w:tcPr>
            <w:tcW w:w="26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21,700,500</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14,799,794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paid</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44,888,657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34,516,687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end of period</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81,019,648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71,450,172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Add reinsurance recoverables</w:t>
            </w:r>
          </w:p>
        </w:tc>
        <w:tc>
          <w:tcPr>
            <w:tcW w:w="26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17,883,412</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13,574,866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$ 98,903,060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$ 85,025,038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Incurred losses and LAE are net of reinsurance recoveries under reinsurance contracts of $18,267,384 and $881,729 for the six months ended June 30, 2022 and 2021,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year incurred loss and LAE development is based upon estimates by line of business and accident year. Prior year loss and LAE development incurred during the six months ended June 30, 2022 and 2021 was $270,401 unfavorable and $8,460 favorable, respectively. Management, on a quarterly basis, performs a review of open liability claims to assess carried case and incurred but not reported (“IBNR”) reserve levels, giving consideration to both Company and industry trends.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LAE reserves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9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i w:val="1"/>
          <w:iCs w:val="1"/>
          <w:color w:val="auto"/>
        </w:rPr>
        <w:t xml:space="preserve">Paid Loss Development </w:t>
      </w:r>
      <w:r>
        <w:rPr>
          <w:rFonts w:ascii="Arial" w:cs="Arial" w:eastAsia="Arial" w:hAnsi="Arial"/>
          <w:sz w:val="18"/>
          <w:szCs w:val="18"/>
          <w:color w:val="auto"/>
        </w:rPr>
        <w:t>– historical patterns of paid loss development are used to project future paid loss emergence in order to estimate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reserves.</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Incurred Loss Development </w:t>
      </w:r>
      <w:r>
        <w:rPr>
          <w:rFonts w:ascii="Arial" w:cs="Arial" w:eastAsia="Arial" w:hAnsi="Arial"/>
          <w:sz w:val="18"/>
          <w:szCs w:val="18"/>
          <w:color w:val="auto"/>
        </w:rPr>
        <w:t>– historical patterns of incurred loss development, reflecting both paid losses and changes in case reserves, are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future incurred loss emergence in order to estimate required reserves.</w:t>
      </w:r>
    </w:p>
    <w:p>
      <w:pPr>
        <w:spacing w:after="0" w:line="170"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5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Incurred Bornhuetter-Ferguson (“BF”) </w:t>
      </w:r>
      <w:r>
        <w:rPr>
          <w:rFonts w:ascii="Arial" w:cs="Arial" w:eastAsia="Arial" w:hAnsi="Arial"/>
          <w:sz w:val="18"/>
          <w:szCs w:val="18"/>
          <w:color w:val="auto"/>
        </w:rPr>
        <w:t>- an estimated loss ratio for a particular accident year is determined, and is weighted against the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8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Incremental Claim-Based Methods </w:t>
      </w:r>
      <w:r>
        <w:rPr>
          <w:rFonts w:ascii="Arial" w:cs="Arial" w:eastAsia="Arial" w:hAnsi="Arial"/>
          <w:sz w:val="18"/>
          <w:szCs w:val="18"/>
          <w:color w:val="auto"/>
        </w:rPr>
        <w:t>– historical patterns of incremental incurred losses and paid LAE during various stages of development are</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8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i w:val="1"/>
          <w:iCs w:val="1"/>
          <w:color w:val="auto"/>
        </w:rPr>
        <w:t xml:space="preserve">Frequency / Severity Based Methods </w:t>
      </w:r>
      <w:r>
        <w:rPr>
          <w:rFonts w:ascii="Arial" w:cs="Arial" w:eastAsia="Arial" w:hAnsi="Arial"/>
          <w:sz w:val="17"/>
          <w:szCs w:val="17"/>
          <w:color w:val="auto"/>
        </w:rPr>
        <w:t>– historical measurements of claim frequency and average paid claim size (severity) are reviewed for more</w:t>
      </w:r>
      <w:r>
        <w:rPr>
          <w:rFonts w:ascii="Arial" w:cs="Arial" w:eastAsia="Arial" w:hAnsi="Arial"/>
          <w:sz w:val="17"/>
          <w:szCs w:val="17"/>
          <w:i w:val="1"/>
          <w:iCs w:val="1"/>
          <w:color w:val="auto"/>
        </w:rPr>
        <w:t xml:space="preserve"> </w:t>
      </w:r>
      <w:r>
        <w:rPr>
          <w:rFonts w:ascii="Arial" w:cs="Arial" w:eastAsia="Arial" w:hAnsi="Arial"/>
          <w:sz w:val="17"/>
          <w:szCs w:val="17"/>
          <w:color w:val="auto"/>
        </w:rPr>
        <w:t>mature 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ectPr>
          <w:pgSz w:w="11900" w:h="16838" w:orient="portrait"/>
          <w:cols w:equalWidth="0" w:num="1">
            <w:col w:w="11240"/>
          </w:cols>
          <w:pgMar w:left="320" w:top="140" w:right="339" w:bottom="0" w:gutter="0" w:footer="0" w:header="0"/>
        </w:sectPr>
      </w:pPr>
    </w:p>
    <w:bookmarkStart w:id="15" w:name="page16"/>
    <w:bookmarkEnd w:id="15"/>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COVID-19 has introduced additional uncertainty to recent claim trends. The Company reviews the carried reserves levels on a regular basis as additional information becomes available and makes adjustments in the periods in which such adjustments are determined to be necessary. The Company is not aware of any other claim trends that have emerged or that would cause future adverse development that have not already been contemplated in setting current carried reserves levels.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June 30, 2019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information about incurred and paid claims development as of June 30, 2022, net of reinsurance, as well as the cumulative reported claims by accident year and total IBNR reserves as of June 30, 2022 included in the net incurred loss and allocated expense amounts. The historical information regarding incurred and paid claims development for the years ended December 31, 2013 to December 31, 2021 is presented as supplementary unaudited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Lines of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reported claims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560" w:type="dxa"/>
            <w:vAlign w:val="bottom"/>
            <w:gridSpan w:val="35"/>
          </w:tcPr>
          <w:p>
            <w:pPr>
              <w:ind w:left="420"/>
              <w:spacing w:after="0"/>
              <w:rPr>
                <w:sz w:val="20"/>
                <w:szCs w:val="20"/>
                <w:color w:val="auto"/>
              </w:rPr>
            </w:pPr>
            <w:r>
              <w:rPr>
                <w:rFonts w:ascii="Arial" w:cs="Arial" w:eastAsia="Arial" w:hAnsi="Arial"/>
                <w:sz w:val="18"/>
                <w:szCs w:val="18"/>
                <w:b w:val="1"/>
                <w:bCs w:val="1"/>
                <w:color w:val="auto"/>
                <w:w w:val="93"/>
              </w:rPr>
              <w:t>Incurred Loss and Allocated Loss Adjustment Expenses, Net of Reinsurance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5"/>
          </w:tcPr>
          <w:p>
            <w:pPr>
              <w:jc w:val="center"/>
              <w:ind w:right="74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160" w:type="dxa"/>
            <w:vAlign w:val="bottom"/>
            <w:tcBorders>
              <w:top w:val="single" w:sz="8" w:color="auto"/>
              <w:bottom w:val="single" w:sz="8" w:color="auto"/>
            </w:tcBorders>
            <w:gridSpan w:val="17"/>
          </w:tcPr>
          <w:p>
            <w:pPr>
              <w:jc w:val="center"/>
              <w:ind w:right="480"/>
              <w:spacing w:after="0"/>
              <w:rPr>
                <w:sz w:val="20"/>
                <w:szCs w:val="20"/>
                <w:color w:val="auto"/>
              </w:rPr>
            </w:pPr>
            <w:r>
              <w:rPr>
                <w:rFonts w:ascii="Arial" w:cs="Arial" w:eastAsia="Arial" w:hAnsi="Arial"/>
                <w:sz w:val="18"/>
                <w:szCs w:val="18"/>
                <w:b w:val="1"/>
                <w:bCs w:val="1"/>
                <w:color w:val="auto"/>
                <w:w w:val="90"/>
              </w:rPr>
              <w:t>For the Years Ended December 31,</w:t>
            </w:r>
          </w:p>
        </w:tc>
        <w:tc>
          <w:tcPr>
            <w:tcW w:w="1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7"/>
          </w:tcPr>
          <w:p>
            <w:pPr>
              <w:jc w:val="center"/>
              <w:ind w:right="10"/>
              <w:spacing w:after="0"/>
              <w:rPr>
                <w:sz w:val="20"/>
                <w:szCs w:val="20"/>
                <w:color w:val="auto"/>
              </w:rPr>
            </w:pPr>
            <w:r>
              <w:rPr>
                <w:rFonts w:ascii="Arial" w:cs="Arial" w:eastAsia="Arial" w:hAnsi="Arial"/>
                <w:sz w:val="18"/>
                <w:szCs w:val="18"/>
                <w:b w:val="1"/>
                <w:bCs w:val="1"/>
                <w:color w:val="auto"/>
                <w:w w:val="88"/>
              </w:rPr>
              <w:t>June 30, 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240" w:type="dxa"/>
            <w:vAlign w:val="bottom"/>
            <w:gridSpan w:val="59"/>
          </w:tcPr>
          <w:p>
            <w:pPr>
              <w:spacing w:after="0"/>
              <w:rPr>
                <w:sz w:val="20"/>
                <w:szCs w:val="20"/>
                <w:color w:val="auto"/>
              </w:rPr>
            </w:pPr>
            <w:r>
              <w:rPr>
                <w:rFonts w:ascii="Arial" w:cs="Arial" w:eastAsia="Arial" w:hAnsi="Arial"/>
                <w:sz w:val="18"/>
                <w:szCs w:val="18"/>
                <w:b w:val="1"/>
                <w:bCs w:val="1"/>
                <w:color w:val="auto"/>
              </w:rPr>
              <w:t>Cumulative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Six</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0320" w:type="dxa"/>
            <w:vAlign w:val="bottom"/>
            <w:gridSpan w:val="57"/>
          </w:tcPr>
          <w:p>
            <w:pPr>
              <w:spacing w:after="0"/>
              <w:rPr>
                <w:sz w:val="20"/>
                <w:szCs w:val="20"/>
                <w:color w:val="auto"/>
              </w:rPr>
            </w:pPr>
            <w:r>
              <w:rPr>
                <w:rFonts w:ascii="Arial" w:cs="Arial" w:eastAsia="Arial" w:hAnsi="Arial"/>
                <w:sz w:val="18"/>
                <w:szCs w:val="18"/>
                <w:b w:val="1"/>
                <w:bCs w:val="1"/>
                <w:color w:val="auto"/>
              </w:rPr>
              <w:t>Months</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Claims by</w:t>
            </w:r>
          </w:p>
        </w:tc>
        <w:tc>
          <w:tcPr>
            <w:tcW w:w="0" w:type="dxa"/>
            <w:vAlign w:val="bottom"/>
          </w:tcPr>
          <w:p>
            <w:pPr>
              <w:spacing w:after="0"/>
              <w:rPr>
                <w:sz w:val="1"/>
                <w:szCs w:val="1"/>
                <w:color w:val="auto"/>
              </w:rPr>
            </w:pPr>
          </w:p>
        </w:tc>
      </w:tr>
      <w:tr>
        <w:trPr>
          <w:trHeight w:val="216"/>
        </w:trPr>
        <w:tc>
          <w:tcPr>
            <w:tcW w:w="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Accident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Accident</w:t>
            </w:r>
          </w:p>
        </w:tc>
        <w:tc>
          <w:tcPr>
            <w:tcW w:w="0" w:type="dxa"/>
            <w:vAlign w:val="bottom"/>
          </w:tcPr>
          <w:p>
            <w:pPr>
              <w:spacing w:after="0"/>
              <w:rPr>
                <w:sz w:val="1"/>
                <w:szCs w:val="1"/>
                <w:color w:val="auto"/>
              </w:rPr>
            </w:pPr>
          </w:p>
        </w:tc>
      </w:tr>
      <w:tr>
        <w:trPr>
          <w:trHeight w:val="234"/>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89"/>
              </w:rPr>
              <w:t>2018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IBNR</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12"/>
          </w:tcPr>
          <w:p>
            <w:pPr>
              <w:jc w:val="right"/>
              <w:ind w:right="240"/>
              <w:spacing w:after="0"/>
              <w:rPr>
                <w:sz w:val="20"/>
                <w:szCs w:val="20"/>
                <w:color w:val="auto"/>
              </w:rPr>
            </w:pPr>
            <w:r>
              <w:rPr>
                <w:rFonts w:ascii="Arial" w:cs="Arial" w:eastAsia="Arial" w:hAnsi="Arial"/>
                <w:sz w:val="18"/>
                <w:szCs w:val="18"/>
                <w:b w:val="1"/>
                <w:bCs w:val="1"/>
                <w:color w:val="auto"/>
                <w:w w:val="95"/>
              </w:rPr>
              <w:t>(Unaudited 2013 - 2021)</w:t>
            </w: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40" w:type="dxa"/>
            <w:vAlign w:val="bottom"/>
            <w:gridSpan w:val="5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85"/>
              </w:rPr>
              <w:t>$ 10,728</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$ 9,745</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$ 9,424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9,621</w:t>
            </w:r>
          </w:p>
        </w:tc>
        <w:tc>
          <w:tcPr>
            <w:tcW w:w="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w w:val="88"/>
              </w:rPr>
              <w:t>$ 10,061</w:t>
            </w: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2"/>
              </w:rPr>
              <w:t>$ 10,089</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$ 10,607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$ 10,495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1"/>
              </w:rPr>
              <w:t>$ 10,529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10,503</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7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14,193</w:t>
            </w:r>
          </w:p>
        </w:tc>
        <w:tc>
          <w:tcPr>
            <w:tcW w:w="1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14,260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14,218</w:t>
            </w:r>
          </w:p>
        </w:tc>
        <w:tc>
          <w:tcPr>
            <w:tcW w:w="40" w:type="dxa"/>
            <w:vAlign w:val="bottom"/>
          </w:tcPr>
          <w:p>
            <w:pPr>
              <w:spacing w:after="0"/>
              <w:rPr>
                <w:sz w:val="18"/>
                <w:szCs w:val="18"/>
                <w:color w:val="auto"/>
              </w:rPr>
            </w:pPr>
          </w:p>
        </w:tc>
        <w:tc>
          <w:tcPr>
            <w:tcW w:w="860" w:type="dxa"/>
            <w:vAlign w:val="bottom"/>
            <w:gridSpan w:val="5"/>
          </w:tcPr>
          <w:p>
            <w:pPr>
              <w:jc w:val="right"/>
              <w:ind w:right="220"/>
              <w:spacing w:after="0"/>
              <w:rPr>
                <w:sz w:val="20"/>
                <w:szCs w:val="20"/>
                <w:color w:val="auto"/>
              </w:rPr>
            </w:pPr>
            <w:r>
              <w:rPr>
                <w:rFonts w:ascii="Arial" w:cs="Arial" w:eastAsia="Arial" w:hAnsi="Arial"/>
                <w:sz w:val="18"/>
                <w:szCs w:val="18"/>
                <w:color w:val="auto"/>
              </w:rPr>
              <w:t>14,564</w:t>
            </w:r>
          </w:p>
        </w:tc>
        <w:tc>
          <w:tcPr>
            <w:tcW w:w="1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15,023</w:t>
            </w:r>
          </w:p>
        </w:tc>
        <w:tc>
          <w:tcPr>
            <w:tcW w:w="820" w:type="dxa"/>
            <w:vAlign w:val="bottom"/>
            <w:gridSpan w:val="5"/>
          </w:tcPr>
          <w:p>
            <w:pPr>
              <w:jc w:val="right"/>
              <w:ind w:right="40"/>
              <w:spacing w:after="0"/>
              <w:rPr>
                <w:sz w:val="20"/>
                <w:szCs w:val="20"/>
                <w:color w:val="auto"/>
              </w:rPr>
            </w:pPr>
            <w:r>
              <w:rPr>
                <w:rFonts w:ascii="Arial" w:cs="Arial" w:eastAsia="Arial" w:hAnsi="Arial"/>
                <w:sz w:val="18"/>
                <w:szCs w:val="18"/>
                <w:color w:val="auto"/>
              </w:rPr>
              <w:t>16,381</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16,428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16,434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16,505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21,994</w:t>
            </w:r>
          </w:p>
        </w:tc>
        <w:tc>
          <w:tcPr>
            <w:tcW w:w="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22,148</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22,491</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23,386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23,291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23,528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23,541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16"/>
        </w:trPr>
        <w:tc>
          <w:tcPr>
            <w:tcW w:w="7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26,062</w:t>
            </w:r>
          </w:p>
        </w:tc>
        <w:tc>
          <w:tcPr>
            <w:tcW w:w="40" w:type="dxa"/>
            <w:vAlign w:val="bottom"/>
          </w:tcPr>
          <w:p>
            <w:pPr>
              <w:spacing w:after="0"/>
              <w:rPr>
                <w:sz w:val="18"/>
                <w:szCs w:val="18"/>
                <w:color w:val="auto"/>
              </w:rPr>
            </w:pPr>
          </w:p>
        </w:tc>
        <w:tc>
          <w:tcPr>
            <w:tcW w:w="860" w:type="dxa"/>
            <w:vAlign w:val="bottom"/>
            <w:gridSpan w:val="5"/>
          </w:tcPr>
          <w:p>
            <w:pPr>
              <w:jc w:val="right"/>
              <w:ind w:right="220"/>
              <w:spacing w:after="0"/>
              <w:rPr>
                <w:sz w:val="20"/>
                <w:szCs w:val="20"/>
                <w:color w:val="auto"/>
              </w:rPr>
            </w:pPr>
            <w:r>
              <w:rPr>
                <w:rFonts w:ascii="Arial" w:cs="Arial" w:eastAsia="Arial" w:hAnsi="Arial"/>
                <w:sz w:val="18"/>
                <w:szCs w:val="18"/>
                <w:color w:val="auto"/>
              </w:rPr>
              <w:t>24,941</w:t>
            </w:r>
          </w:p>
        </w:tc>
        <w:tc>
          <w:tcPr>
            <w:tcW w:w="1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24,789</w:t>
            </w:r>
          </w:p>
        </w:tc>
        <w:tc>
          <w:tcPr>
            <w:tcW w:w="820" w:type="dxa"/>
            <w:vAlign w:val="bottom"/>
            <w:gridSpan w:val="5"/>
          </w:tcPr>
          <w:p>
            <w:pPr>
              <w:jc w:val="right"/>
              <w:ind w:right="40"/>
              <w:spacing w:after="0"/>
              <w:rPr>
                <w:sz w:val="20"/>
                <w:szCs w:val="20"/>
                <w:color w:val="auto"/>
              </w:rPr>
            </w:pPr>
            <w:r>
              <w:rPr>
                <w:rFonts w:ascii="Arial" w:cs="Arial" w:eastAsia="Arial" w:hAnsi="Arial"/>
                <w:sz w:val="18"/>
                <w:szCs w:val="18"/>
                <w:color w:val="auto"/>
              </w:rPr>
              <w:t>27,887</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27,966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27,417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27,423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31,605</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32,169</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35,304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36,160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36,532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36,512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16"/>
        </w:trPr>
        <w:tc>
          <w:tcPr>
            <w:tcW w:w="7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54,455</w:t>
            </w:r>
          </w:p>
        </w:tc>
        <w:tc>
          <w:tcPr>
            <w:tcW w:w="820" w:type="dxa"/>
            <w:vAlign w:val="bottom"/>
            <w:gridSpan w:val="5"/>
          </w:tcPr>
          <w:p>
            <w:pPr>
              <w:jc w:val="right"/>
              <w:ind w:right="40"/>
              <w:spacing w:after="0"/>
              <w:rPr>
                <w:sz w:val="20"/>
                <w:szCs w:val="20"/>
                <w:color w:val="auto"/>
              </w:rPr>
            </w:pPr>
            <w:r>
              <w:rPr>
                <w:rFonts w:ascii="Arial" w:cs="Arial" w:eastAsia="Arial" w:hAnsi="Arial"/>
                <w:sz w:val="18"/>
                <w:szCs w:val="18"/>
                <w:color w:val="auto"/>
              </w:rPr>
              <w:t>56,351</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58,441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59,404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59,838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647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75,092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72,368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71,544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71,327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4,485</w:t>
            </w:r>
          </w:p>
        </w:tc>
        <w:tc>
          <w:tcPr>
            <w:tcW w:w="0" w:type="dxa"/>
            <w:vAlign w:val="bottom"/>
          </w:tcPr>
          <w:p>
            <w:pPr>
              <w:spacing w:after="0"/>
              <w:rPr>
                <w:sz w:val="1"/>
                <w:szCs w:val="1"/>
                <w:color w:val="auto"/>
              </w:rPr>
            </w:pPr>
          </w:p>
        </w:tc>
      </w:tr>
      <w:tr>
        <w:trPr>
          <w:trHeight w:val="216"/>
        </w:trPr>
        <w:tc>
          <w:tcPr>
            <w:tcW w:w="7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63,083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62,833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62,261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3,848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96,425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97,124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10,253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5,762</w:t>
            </w:r>
          </w:p>
        </w:tc>
        <w:tc>
          <w:tcPr>
            <w:tcW w:w="0" w:type="dxa"/>
            <w:vAlign w:val="bottom"/>
          </w:tcPr>
          <w:p>
            <w:pPr>
              <w:spacing w:after="0"/>
              <w:rPr>
                <w:sz w:val="1"/>
                <w:szCs w:val="1"/>
                <w:color w:val="auto"/>
              </w:rPr>
            </w:pPr>
          </w:p>
        </w:tc>
      </w:tr>
      <w:tr>
        <w:trPr>
          <w:trHeight w:val="216"/>
        </w:trPr>
        <w:tc>
          <w:tcPr>
            <w:tcW w:w="7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38,506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10,000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0"/>
        </w:trPr>
        <w:tc>
          <w:tcPr>
            <w:tcW w:w="11240" w:type="dxa"/>
            <w:vAlign w:val="bottom"/>
            <w:gridSpan w:val="5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443,540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320" w:type="dxa"/>
            <w:vAlign w:val="bottom"/>
            <w:tcBorders>
              <w:top w:val="single" w:sz="8" w:color="CCEEFF"/>
            </w:tcBorders>
            <w:gridSpan w:val="11"/>
          </w:tcPr>
          <w:p>
            <w:pPr>
              <w:spacing w:after="0"/>
              <w:rPr>
                <w:sz w:val="20"/>
                <w:szCs w:val="20"/>
                <w:color w:val="auto"/>
              </w:rPr>
            </w:pPr>
            <w:r>
              <w:rPr>
                <w:rFonts w:ascii="Arial" w:cs="Arial" w:eastAsia="Arial" w:hAnsi="Arial"/>
                <w:sz w:val="18"/>
                <w:szCs w:val="18"/>
                <w:b w:val="1"/>
                <w:bCs w:val="1"/>
                <w:color w:val="auto"/>
              </w:rPr>
              <w:t>All Lines of Business</w:t>
            </w: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00" w:type="dxa"/>
            <w:vAlign w:val="bottom"/>
            <w:gridSpan w:val="7"/>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20" w:type="dxa"/>
            <w:vAlign w:val="bottom"/>
            <w:gridSpan w:val="38"/>
            <w:vMerge w:val="restart"/>
          </w:tcPr>
          <w:p>
            <w:pPr>
              <w:ind w:left="500"/>
              <w:spacing w:after="0"/>
              <w:rPr>
                <w:sz w:val="20"/>
                <w:szCs w:val="20"/>
                <w:color w:val="auto"/>
              </w:rPr>
            </w:pPr>
            <w:r>
              <w:rPr>
                <w:rFonts w:ascii="Arial" w:cs="Arial" w:eastAsia="Arial" w:hAnsi="Arial"/>
                <w:sz w:val="18"/>
                <w:szCs w:val="18"/>
                <w:b w:val="1"/>
                <w:bCs w:val="1"/>
                <w:color w:val="auto"/>
                <w:w w:val="89"/>
              </w:rPr>
              <w:t>Cumulative Paid Loss and Allocated Loss Adjustment Expenses, Net of Reinsurance</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20" w:type="dxa"/>
            <w:vAlign w:val="bottom"/>
            <w:tcBorders>
              <w:bottom w:val="single" w:sz="8" w:color="auto"/>
            </w:tcBorders>
            <w:gridSpan w:val="38"/>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240" w:type="dxa"/>
            <w:vAlign w:val="bottom"/>
            <w:gridSpan w:val="59"/>
          </w:tcPr>
          <w:p>
            <w:pPr>
              <w:spacing w:after="0"/>
              <w:rPr>
                <w:sz w:val="20"/>
                <w:szCs w:val="20"/>
                <w:color w:val="auto"/>
              </w:rPr>
            </w:pPr>
            <w:r>
              <w:rPr>
                <w:rFonts w:ascii="Arial" w:cs="Arial" w:eastAsia="Arial" w:hAnsi="Arial"/>
                <w:sz w:val="18"/>
                <w:szCs w:val="18"/>
                <w:b w:val="1"/>
                <w:bCs w:val="1"/>
                <w:color w:val="auto"/>
              </w:rPr>
              <w:t>Six</w:t>
            </w:r>
          </w:p>
        </w:tc>
        <w:tc>
          <w:tcPr>
            <w:tcW w:w="0" w:type="dxa"/>
            <w:vAlign w:val="bottom"/>
          </w:tcPr>
          <w:p>
            <w:pPr>
              <w:spacing w:after="0"/>
              <w:rPr>
                <w:sz w:val="1"/>
                <w:szCs w:val="1"/>
                <w:color w:val="auto"/>
              </w:rPr>
            </w:pPr>
          </w:p>
        </w:tc>
      </w:tr>
      <w:tr>
        <w:trPr>
          <w:trHeight w:val="216"/>
        </w:trPr>
        <w:tc>
          <w:tcPr>
            <w:tcW w:w="11240" w:type="dxa"/>
            <w:vAlign w:val="bottom"/>
            <w:gridSpan w:val="59"/>
          </w:tcPr>
          <w:p>
            <w:pPr>
              <w:spacing w:after="0"/>
              <w:rPr>
                <w:sz w:val="20"/>
                <w:szCs w:val="20"/>
                <w:color w:val="auto"/>
              </w:rPr>
            </w:pPr>
            <w:r>
              <w:rPr>
                <w:rFonts w:ascii="Arial" w:cs="Arial" w:eastAsia="Arial" w:hAnsi="Arial"/>
                <w:sz w:val="18"/>
                <w:szCs w:val="18"/>
                <w:b w:val="1"/>
                <w:bCs w:val="1"/>
                <w:color w:val="auto"/>
              </w:rPr>
              <w:t>Months</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15"/>
            <w:vMerge w:val="restart"/>
          </w:tcPr>
          <w:p>
            <w:pPr>
              <w:jc w:val="center"/>
              <w:ind w:right="180"/>
              <w:spacing w:after="0"/>
              <w:rPr>
                <w:sz w:val="20"/>
                <w:szCs w:val="20"/>
                <w:color w:val="auto"/>
              </w:rPr>
            </w:pPr>
            <w:r>
              <w:rPr>
                <w:rFonts w:ascii="Arial" w:cs="Arial" w:eastAsia="Arial" w:hAnsi="Arial"/>
                <w:sz w:val="18"/>
                <w:szCs w:val="18"/>
                <w:b w:val="1"/>
                <w:bCs w:val="1"/>
                <w:color w:val="auto"/>
                <w:w w:val="90"/>
              </w:rPr>
              <w:t>For the Years Ended December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21"/>
        </w:trPr>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15"/>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09"/>
        </w:trPr>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Accident Year</w:t>
            </w:r>
          </w:p>
        </w:tc>
        <w:tc>
          <w:tcPr>
            <w:tcW w:w="10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18"/>
                <w:szCs w:val="18"/>
                <w:color w:val="auto"/>
              </w:rPr>
            </w:pPr>
          </w:p>
        </w:tc>
        <w:tc>
          <w:tcPr>
            <w:tcW w:w="6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4"/>
              </w:rPr>
              <w:t>2013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4"/>
              </w:rPr>
              <w:t>2018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2019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14"/>
          </w:tcPr>
          <w:p>
            <w:pPr>
              <w:jc w:val="center"/>
              <w:ind w:right="340"/>
              <w:spacing w:after="0"/>
              <w:rPr>
                <w:sz w:val="20"/>
                <w:szCs w:val="20"/>
                <w:color w:val="auto"/>
              </w:rPr>
            </w:pPr>
            <w:r>
              <w:rPr>
                <w:rFonts w:ascii="Arial" w:cs="Arial" w:eastAsia="Arial" w:hAnsi="Arial"/>
                <w:sz w:val="18"/>
                <w:szCs w:val="18"/>
                <w:b w:val="1"/>
                <w:bCs w:val="1"/>
                <w:color w:val="auto"/>
                <w:w w:val="92"/>
              </w:rPr>
              <w:t>(Unaudited 2013 - 2021)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40" w:type="dxa"/>
            <w:vAlign w:val="bottom"/>
            <w:gridSpan w:val="5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2013</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3,405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5,303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6,633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3"/>
              </w:rPr>
              <w:t>8,407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9,056</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9,717</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90"/>
              </w:rPr>
              <w:t>10,392</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216"/>
        </w:trPr>
        <w:tc>
          <w:tcPr>
            <w:tcW w:w="84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2014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5,710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9,429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10,738</w:t>
            </w:r>
          </w:p>
        </w:tc>
        <w:tc>
          <w:tcPr>
            <w:tcW w:w="1200" w:type="dxa"/>
            <w:vAlign w:val="bottom"/>
            <w:gridSpan w:val="6"/>
          </w:tcPr>
          <w:p>
            <w:pPr>
              <w:jc w:val="right"/>
              <w:ind w:right="220"/>
              <w:spacing w:after="0"/>
              <w:rPr>
                <w:sz w:val="20"/>
                <w:szCs w:val="20"/>
                <w:color w:val="auto"/>
              </w:rPr>
            </w:pPr>
            <w:r>
              <w:rPr>
                <w:rFonts w:ascii="Arial" w:cs="Arial" w:eastAsia="Arial" w:hAnsi="Arial"/>
                <w:sz w:val="18"/>
                <w:szCs w:val="18"/>
                <w:color w:val="auto"/>
              </w:rPr>
              <w:t>11,770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13,819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14,901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15,491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4"/>
          </w:tcPr>
          <w:p>
            <w:pPr>
              <w:ind w:left="140"/>
              <w:spacing w:after="0"/>
              <w:rPr>
                <w:sz w:val="20"/>
                <w:szCs w:val="20"/>
                <w:color w:val="auto"/>
              </w:rPr>
            </w:pPr>
            <w:r>
              <w:rPr>
                <w:rFonts w:ascii="Arial" w:cs="Arial" w:eastAsia="Arial" w:hAnsi="Arial"/>
                <w:sz w:val="18"/>
                <w:szCs w:val="18"/>
                <w:color w:val="auto"/>
                <w:w w:val="90"/>
              </w:rPr>
              <w:t>15,770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16,074</w:t>
            </w: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2015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12,295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16,181</w:t>
            </w:r>
          </w:p>
        </w:tc>
        <w:tc>
          <w:tcPr>
            <w:tcW w:w="120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18,266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19,984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90"/>
              </w:rPr>
              <w:t>22,318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22,452</w:t>
            </w:r>
          </w:p>
        </w:tc>
        <w:tc>
          <w:tcPr>
            <w:tcW w:w="0" w:type="dxa"/>
            <w:vAlign w:val="bottom"/>
          </w:tcPr>
          <w:p>
            <w:pPr>
              <w:spacing w:after="0"/>
              <w:rPr>
                <w:sz w:val="1"/>
                <w:szCs w:val="1"/>
                <w:color w:val="auto"/>
              </w:rPr>
            </w:pPr>
          </w:p>
        </w:tc>
      </w:tr>
      <w:tr>
        <w:trPr>
          <w:trHeight w:val="216"/>
        </w:trPr>
        <w:tc>
          <w:tcPr>
            <w:tcW w:w="84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2016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15,364</w:t>
            </w:r>
          </w:p>
        </w:tc>
        <w:tc>
          <w:tcPr>
            <w:tcW w:w="1200" w:type="dxa"/>
            <w:vAlign w:val="bottom"/>
            <w:gridSpan w:val="6"/>
          </w:tcPr>
          <w:p>
            <w:pPr>
              <w:jc w:val="right"/>
              <w:ind w:right="220"/>
              <w:spacing w:after="0"/>
              <w:rPr>
                <w:sz w:val="20"/>
                <w:szCs w:val="20"/>
                <w:color w:val="auto"/>
              </w:rPr>
            </w:pPr>
            <w:r>
              <w:rPr>
                <w:rFonts w:ascii="Arial" w:cs="Arial" w:eastAsia="Arial" w:hAnsi="Arial"/>
                <w:sz w:val="18"/>
                <w:szCs w:val="18"/>
                <w:color w:val="auto"/>
              </w:rPr>
              <w:t>19,001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21,106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23,974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25,234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4"/>
          </w:tcPr>
          <w:p>
            <w:pPr>
              <w:ind w:left="140"/>
              <w:spacing w:after="0"/>
              <w:rPr>
                <w:sz w:val="20"/>
                <w:szCs w:val="20"/>
                <w:color w:val="auto"/>
              </w:rPr>
            </w:pPr>
            <w:r>
              <w:rPr>
                <w:rFonts w:ascii="Arial" w:cs="Arial" w:eastAsia="Arial" w:hAnsi="Arial"/>
                <w:sz w:val="18"/>
                <w:szCs w:val="18"/>
                <w:color w:val="auto"/>
                <w:w w:val="90"/>
              </w:rPr>
              <w:t>25,750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25,977</w:t>
            </w: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2017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16,704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24,820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28,693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90"/>
              </w:rPr>
              <w:t>32,529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32,821</w:t>
            </w:r>
          </w:p>
        </w:tc>
        <w:tc>
          <w:tcPr>
            <w:tcW w:w="0" w:type="dxa"/>
            <w:vAlign w:val="bottom"/>
          </w:tcPr>
          <w:p>
            <w:pPr>
              <w:spacing w:after="0"/>
              <w:rPr>
                <w:sz w:val="1"/>
                <w:szCs w:val="1"/>
                <w:color w:val="auto"/>
              </w:rPr>
            </w:pPr>
          </w:p>
        </w:tc>
      </w:tr>
      <w:tr>
        <w:trPr>
          <w:trHeight w:val="218"/>
        </w:trPr>
        <w:tc>
          <w:tcPr>
            <w:tcW w:w="840" w:type="dxa"/>
            <w:vAlign w:val="bottom"/>
            <w:tcBorders>
              <w:bottom w:val="single" w:sz="8" w:color="CCEEFF"/>
            </w:tcBorders>
            <w:gridSpan w:val="2"/>
          </w:tcPr>
          <w:p>
            <w:pPr>
              <w:jc w:val="center"/>
              <w:ind w:left="310"/>
              <w:spacing w:after="0"/>
              <w:rPr>
                <w:sz w:val="20"/>
                <w:szCs w:val="20"/>
                <w:color w:val="auto"/>
              </w:rPr>
            </w:pPr>
            <w:r>
              <w:rPr>
                <w:rFonts w:ascii="Arial" w:cs="Arial" w:eastAsia="Arial" w:hAnsi="Arial"/>
                <w:sz w:val="18"/>
                <w:szCs w:val="18"/>
                <w:color w:val="auto"/>
                <w:w w:val="89"/>
              </w:rPr>
              <w:t>2018</w:t>
            </w: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gridSpan w:val="3"/>
          </w:tcPr>
          <w:p>
            <w:pPr>
              <w:jc w:val="right"/>
              <w:ind w:right="200"/>
              <w:spacing w:after="0"/>
              <w:rPr>
                <w:sz w:val="20"/>
                <w:szCs w:val="20"/>
                <w:color w:val="auto"/>
              </w:rPr>
            </w:pPr>
            <w:r>
              <w:rPr>
                <w:rFonts w:ascii="Arial" w:cs="Arial" w:eastAsia="Arial" w:hAnsi="Arial"/>
                <w:sz w:val="18"/>
                <w:szCs w:val="18"/>
                <w:color w:val="auto"/>
              </w:rPr>
              <w:t>32,383</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gridSpan w:val="3"/>
          </w:tcPr>
          <w:p>
            <w:pPr>
              <w:jc w:val="right"/>
              <w:ind w:right="40"/>
              <w:spacing w:after="0"/>
              <w:rPr>
                <w:sz w:val="20"/>
                <w:szCs w:val="20"/>
                <w:color w:val="auto"/>
              </w:rPr>
            </w:pPr>
            <w:r>
              <w:rPr>
                <w:rFonts w:ascii="Arial" w:cs="Arial" w:eastAsia="Arial" w:hAnsi="Arial"/>
                <w:sz w:val="18"/>
                <w:szCs w:val="18"/>
                <w:color w:val="auto"/>
              </w:rPr>
              <w:t>44,516</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50,553</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gridSpan w:val="4"/>
          </w:tcPr>
          <w:p>
            <w:pPr>
              <w:ind w:left="140"/>
              <w:spacing w:after="0"/>
              <w:rPr>
                <w:sz w:val="20"/>
                <w:szCs w:val="20"/>
                <w:color w:val="auto"/>
              </w:rPr>
            </w:pPr>
            <w:r>
              <w:rPr>
                <w:rFonts w:ascii="Arial" w:cs="Arial" w:eastAsia="Arial" w:hAnsi="Arial"/>
                <w:sz w:val="18"/>
                <w:szCs w:val="18"/>
                <w:color w:val="auto"/>
                <w:w w:val="90"/>
              </w:rPr>
              <w:t>52,025</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53,176</w:t>
            </w:r>
          </w:p>
        </w:tc>
        <w:tc>
          <w:tcPr>
            <w:tcW w:w="0" w:type="dxa"/>
            <w:vAlign w:val="bottom"/>
          </w:tcPr>
          <w:p>
            <w:pPr>
              <w:spacing w:after="0"/>
              <w:rPr>
                <w:sz w:val="1"/>
                <w:szCs w:val="1"/>
                <w:color w:val="auto"/>
              </w:rPr>
            </w:pPr>
          </w:p>
        </w:tc>
      </w:tr>
    </w:tbl>
    <w:p>
      <w:pPr>
        <w:sectPr>
          <w:pgSz w:w="11900" w:h="16900" w:orient="portrait"/>
          <w:cols w:equalWidth="0" w:num="1">
            <w:col w:w="11240"/>
          </w:cols>
          <w:pgMar w:left="320" w:top="341" w:right="339" w:bottom="0" w:gutter="0" w:footer="0" w:header="0"/>
        </w:sectPr>
      </w:pPr>
    </w:p>
    <w:bookmarkStart w:id="16" w:name="page17"/>
    <w:bookmarkEnd w:id="1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2019</w:t>
            </w:r>
          </w:p>
        </w:tc>
        <w:tc>
          <w:tcPr>
            <w:tcW w:w="6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40,933</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54,897</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58,055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59,819</w:t>
            </w:r>
          </w:p>
        </w:tc>
      </w:tr>
      <w:tr>
        <w:trPr>
          <w:trHeight w:val="216"/>
        </w:trPr>
        <w:tc>
          <w:tcPr>
            <w:tcW w:w="1960" w:type="dxa"/>
            <w:vAlign w:val="bottom"/>
          </w:tcPr>
          <w:p>
            <w:pPr>
              <w:jc w:val="right"/>
              <w:ind w:right="1070"/>
              <w:spacing w:after="0"/>
              <w:rPr>
                <w:sz w:val="20"/>
                <w:szCs w:val="20"/>
                <w:color w:val="auto"/>
              </w:rPr>
            </w:pPr>
            <w:r>
              <w:rPr>
                <w:rFonts w:ascii="Arial" w:cs="Arial" w:eastAsia="Arial" w:hAnsi="Arial"/>
                <w:sz w:val="18"/>
                <w:szCs w:val="18"/>
                <w:color w:val="auto"/>
              </w:rPr>
              <w:t>2020</w:t>
            </w:r>
          </w:p>
        </w:tc>
        <w:tc>
          <w:tcPr>
            <w:tcW w:w="632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39,045</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50,719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51,982</w:t>
            </w:r>
          </w:p>
        </w:tc>
      </w:tr>
      <w:tr>
        <w:trPr>
          <w:trHeight w:val="216"/>
        </w:trPr>
        <w:tc>
          <w:tcPr>
            <w:tcW w:w="19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2021</w:t>
            </w:r>
          </w:p>
        </w:tc>
        <w:tc>
          <w:tcPr>
            <w:tcW w:w="6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56,282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72,020</w:t>
            </w:r>
          </w:p>
        </w:tc>
      </w:tr>
      <w:tr>
        <w:trPr>
          <w:trHeight w:val="216"/>
        </w:trPr>
        <w:tc>
          <w:tcPr>
            <w:tcW w:w="1960" w:type="dxa"/>
            <w:vAlign w:val="bottom"/>
          </w:tcPr>
          <w:p>
            <w:pPr>
              <w:jc w:val="right"/>
              <w:ind w:right="1070"/>
              <w:spacing w:after="0"/>
              <w:rPr>
                <w:sz w:val="20"/>
                <w:szCs w:val="20"/>
                <w:color w:val="auto"/>
              </w:rPr>
            </w:pPr>
            <w:r>
              <w:rPr>
                <w:rFonts w:ascii="Arial" w:cs="Arial" w:eastAsia="Arial" w:hAnsi="Arial"/>
                <w:sz w:val="18"/>
                <w:szCs w:val="18"/>
                <w:color w:val="auto"/>
              </w:rPr>
              <w:t>2022</w:t>
            </w:r>
          </w:p>
        </w:tc>
        <w:tc>
          <w:tcPr>
            <w:tcW w:w="6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21,245</w:t>
            </w:r>
          </w:p>
        </w:tc>
        <w:tc>
          <w:tcPr>
            <w:tcW w:w="100" w:type="dxa"/>
            <w:vAlign w:val="bottom"/>
          </w:tcPr>
          <w:p>
            <w:pPr>
              <w:spacing w:after="0"/>
              <w:rPr>
                <w:sz w:val="18"/>
                <w:szCs w:val="18"/>
                <w:color w:val="auto"/>
              </w:rPr>
            </w:pPr>
          </w:p>
        </w:tc>
      </w:tr>
      <w:tr>
        <w:trPr>
          <w:trHeight w:val="210"/>
        </w:trPr>
        <w:tc>
          <w:tcPr>
            <w:tcW w:w="196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365,966</w:t>
            </w:r>
          </w:p>
        </w:tc>
      </w:tr>
      <w:tr>
        <w:trPr>
          <w:trHeight w:val="209"/>
        </w:trPr>
        <w:tc>
          <w:tcPr>
            <w:tcW w:w="1960" w:type="dxa"/>
            <w:vAlign w:val="bottom"/>
            <w:tcBorders>
              <w:top w:val="single" w:sz="8" w:color="CCEEFF"/>
            </w:tcBorders>
          </w:tcPr>
          <w:p>
            <w:pPr>
              <w:spacing w:after="0"/>
              <w:rPr>
                <w:sz w:val="18"/>
                <w:szCs w:val="18"/>
                <w:color w:val="auto"/>
              </w:rPr>
            </w:pPr>
          </w:p>
        </w:tc>
        <w:tc>
          <w:tcPr>
            <w:tcW w:w="8260" w:type="dxa"/>
            <w:vAlign w:val="bottom"/>
            <w:tcBorders>
              <w:top w:val="single" w:sz="8" w:color="CCEEFF"/>
            </w:tcBorders>
            <w:gridSpan w:val="3"/>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8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Net liability for unpaid loss and allocated loss adjustment expenses for the accident years presented</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77,574</w:t>
            </w:r>
          </w:p>
        </w:tc>
      </w:tr>
      <w:tr>
        <w:trPr>
          <w:trHeight w:val="216"/>
        </w:trPr>
        <w:tc>
          <w:tcPr>
            <w:tcW w:w="1960" w:type="dxa"/>
            <w:vAlign w:val="bottom"/>
          </w:tcPr>
          <w:p>
            <w:pPr>
              <w:spacing w:after="0"/>
              <w:rPr>
                <w:sz w:val="18"/>
                <w:szCs w:val="18"/>
                <w:color w:val="auto"/>
              </w:rPr>
            </w:pPr>
          </w:p>
        </w:tc>
        <w:tc>
          <w:tcPr>
            <w:tcW w:w="8380" w:type="dxa"/>
            <w:vAlign w:val="bottom"/>
            <w:gridSpan w:val="4"/>
          </w:tcPr>
          <w:p>
            <w:pPr>
              <w:jc w:val="right"/>
              <w:ind w:right="80"/>
              <w:spacing w:after="0"/>
              <w:rPr>
                <w:sz w:val="20"/>
                <w:szCs w:val="20"/>
                <w:color w:val="auto"/>
              </w:rPr>
            </w:pPr>
            <w:r>
              <w:rPr>
                <w:rFonts w:ascii="Arial" w:cs="Arial" w:eastAsia="Arial" w:hAnsi="Arial"/>
                <w:sz w:val="18"/>
                <w:szCs w:val="18"/>
                <w:color w:val="auto"/>
              </w:rPr>
              <w:t>All outstanding liabilities before 2013, net of reinsurance</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r>
      <w:tr>
        <w:trPr>
          <w:trHeight w:val="250"/>
        </w:trPr>
        <w:tc>
          <w:tcPr>
            <w:tcW w:w="196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Liabilities for loss and allocated loss adjustment expenses, net of reinsurance</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77,850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the net incurred and paid loss development tables to the loss and LAE reserves in the consolidated balance sheet is as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the Disclosure of Incurred and Paid Loss Development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Liability for Loss and LAE Reserves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As of</w:t>
            </w: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8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Liabilities for allocated loss and loss adjustment expenses, net of reinsurance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Total reinsurance recoverable on unpaid losses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loss adjustment expenses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Total gross liability for loss and LAE reserves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98,903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Effective December 31, 2021, the Company entered into a quota share reinsurance treaty for its personal lines business, which primarily consists of homeowners’ and dwelling fire policies, covering the period from December 31, 2021 through January 1, 2023 (“2021/2023 Treaty”).</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excess of loss and catastrophe reinsurance treaties expired on June 30, 2022 and the Company entered into new excess of loss and catastrophe reinsurance treaties effective July 1, 2022. Effective October 18, 2021, the Company entered into a stub catastrophe reinsurance treaty covering the period from October 18, 2021 through December 31, 2021. The treaty provided reinsurance coverage for catastrophe losses of $5,000,000 in excess of $5,000,000. Effective January 1, 2022, the Company entered into an underlying excess of loss reinsurance treaty covering the period from January 1, 2022 through January 1, 2023. The treaty provides 50% reinsurance coverage for losses of $400,000 in excess of $600,000. Losses from named storms are excluded from the treaty. Material terms for reinsurance treaties in effect for the treaty years shown below are as follows: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3"/>
          </w:tcPr>
          <w:p>
            <w:pPr>
              <w:spacing w:after="0"/>
              <w:rPr>
                <w:sz w:val="20"/>
                <w:szCs w:val="20"/>
                <w:color w:val="auto"/>
              </w:rPr>
            </w:pPr>
            <w:r>
              <w:rPr>
                <w:rFonts w:ascii="Arial" w:cs="Arial" w:eastAsia="Arial" w:hAnsi="Arial"/>
                <w:sz w:val="18"/>
                <w:szCs w:val="18"/>
                <w:i w:val="1"/>
                <w:iCs w:val="1"/>
                <w:color w:val="0000EE"/>
              </w:rPr>
              <w:t>Table of Contents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12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0"/>
              </w:rPr>
              <w:t>Treaty Period</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2"/>
              </w:rPr>
              <w:t>January 2,</w:t>
            </w:r>
          </w:p>
        </w:tc>
        <w:tc>
          <w:tcPr>
            <w:tcW w:w="140" w:type="dxa"/>
            <w:vAlign w:val="bottom"/>
          </w:tcPr>
          <w:p>
            <w:pPr>
              <w:spacing w:after="0"/>
              <w:rPr>
                <w:sz w:val="18"/>
                <w:szCs w:val="18"/>
                <w:color w:val="auto"/>
              </w:rPr>
            </w:pPr>
          </w:p>
        </w:tc>
        <w:tc>
          <w:tcPr>
            <w:tcW w:w="262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(2021/2023 Treaty)</w:t>
            </w:r>
          </w:p>
        </w:tc>
        <w:tc>
          <w:tcPr>
            <w:tcW w:w="180" w:type="dxa"/>
            <w:vAlign w:val="bottom"/>
          </w:tcPr>
          <w:p>
            <w:pPr>
              <w:spacing w:after="0"/>
              <w:rPr>
                <w:sz w:val="18"/>
                <w:szCs w:val="18"/>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July 1,</w:t>
            </w:r>
          </w:p>
        </w:tc>
        <w:tc>
          <w:tcPr>
            <w:tcW w:w="1220" w:type="dxa"/>
            <w:vAlign w:val="bottom"/>
            <w:gridSpan w:val="3"/>
            <w:vMerge w:val="restart"/>
          </w:tcPr>
          <w:p>
            <w:pPr>
              <w:jc w:val="center"/>
              <w:ind w:right="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July 1,</w:t>
            </w:r>
          </w:p>
        </w:tc>
        <w:tc>
          <w:tcPr>
            <w:tcW w:w="11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to</w:t>
            </w: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to</w:t>
            </w: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to</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to</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January 1,</w:t>
            </w: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30,</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4620" w:type="dxa"/>
            <w:vAlign w:val="bottom"/>
            <w:gridSpan w:val="3"/>
          </w:tcPr>
          <w:p>
            <w:pPr>
              <w:spacing w:after="0"/>
              <w:rPr>
                <w:sz w:val="20"/>
                <w:szCs w:val="20"/>
                <w:color w:val="auto"/>
              </w:rPr>
            </w:pPr>
            <w:r>
              <w:rPr>
                <w:rFonts w:ascii="Arial" w:cs="Arial" w:eastAsia="Arial" w:hAnsi="Arial"/>
                <w:sz w:val="18"/>
                <w:szCs w:val="18"/>
                <w:color w:val="auto"/>
              </w:rPr>
              <w:t>Personal Lines: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Homeowners, dwelling fire and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160"/>
              <w:spacing w:after="0"/>
              <w:rPr>
                <w:sz w:val="20"/>
                <w:szCs w:val="20"/>
                <w:color w:val="auto"/>
              </w:rPr>
            </w:pPr>
            <w:r>
              <w:rPr>
                <w:rFonts w:ascii="Arial" w:cs="Arial" w:eastAsia="Arial" w:hAnsi="Arial"/>
                <w:sz w:val="18"/>
                <w:szCs w:val="18"/>
                <w:color w:val="auto"/>
              </w:rPr>
              <w:t>and canine legal liability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3"/>
          </w:tcPr>
          <w:p>
            <w:pPr>
              <w:ind w:left="200"/>
              <w:spacing w:after="0"/>
              <w:rPr>
                <w:sz w:val="20"/>
                <w:szCs w:val="20"/>
                <w:color w:val="auto"/>
              </w:rPr>
            </w:pPr>
            <w:r>
              <w:rPr>
                <w:rFonts w:ascii="Arial" w:cs="Arial" w:eastAsia="Arial" w:hAnsi="Arial"/>
                <w:sz w:val="18"/>
                <w:szCs w:val="18"/>
                <w:color w:val="auto"/>
              </w:rPr>
              <w:t>Quota share treaty:</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Percent ceded (9)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None (8)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None (5)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None (5)</w:t>
            </w:r>
          </w:p>
        </w:tc>
        <w:tc>
          <w:tcPr>
            <w:tcW w:w="0" w:type="dxa"/>
            <w:vAlign w:val="bottom"/>
          </w:tcPr>
          <w:p>
            <w:pPr>
              <w:spacing w:after="0"/>
              <w:rPr>
                <w:sz w:val="1"/>
                <w:szCs w:val="1"/>
                <w:color w:val="auto"/>
              </w:rPr>
            </w:pPr>
          </w:p>
        </w:tc>
      </w:tr>
      <w:tr>
        <w:trPr>
          <w:trHeight w:val="216"/>
        </w:trPr>
        <w:tc>
          <w:tcPr>
            <w:tcW w:w="4620" w:type="dxa"/>
            <w:vAlign w:val="bottom"/>
            <w:gridSpan w:val="3"/>
          </w:tcPr>
          <w:p>
            <w:pPr>
              <w:ind w:left="200"/>
              <w:spacing w:after="0"/>
              <w:rPr>
                <w:sz w:val="20"/>
                <w:szCs w:val="20"/>
                <w:color w:val="auto"/>
              </w:rPr>
            </w:pPr>
            <w:r>
              <w:rPr>
                <w:rFonts w:ascii="Arial" w:cs="Arial" w:eastAsia="Arial" w:hAnsi="Arial"/>
                <w:sz w:val="18"/>
                <w:szCs w:val="18"/>
                <w:color w:val="auto"/>
              </w:rPr>
              <w:t>Risk retained on intial</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$1,000,000 of losses (5) (7) (8) (9)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4620" w:type="dxa"/>
            <w:vAlign w:val="bottom"/>
            <w:gridSpan w:val="3"/>
          </w:tcPr>
          <w:p>
            <w:pPr>
              <w:ind w:left="200"/>
              <w:spacing w:after="0"/>
              <w:rPr>
                <w:sz w:val="20"/>
                <w:szCs w:val="20"/>
                <w:color w:val="auto"/>
              </w:rPr>
            </w:pPr>
            <w:r>
              <w:rPr>
                <w:rFonts w:ascii="Arial" w:cs="Arial" w:eastAsia="Arial" w:hAnsi="Arial"/>
                <w:sz w:val="18"/>
                <w:szCs w:val="18"/>
                <w:color w:val="auto"/>
              </w:rPr>
              <w:t>Losses per occurrence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subject to quota share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340"/>
              <w:spacing w:after="0"/>
              <w:rPr>
                <w:sz w:val="20"/>
                <w:szCs w:val="20"/>
                <w:color w:val="auto"/>
              </w:rPr>
            </w:pPr>
            <w:r>
              <w:rPr>
                <w:rFonts w:ascii="Arial" w:cs="Arial" w:eastAsia="Arial" w:hAnsi="Arial"/>
                <w:sz w:val="18"/>
                <w:szCs w:val="18"/>
                <w:color w:val="auto"/>
              </w:rPr>
              <w:t>reinsurance coverage</w:t>
            </w:r>
          </w:p>
        </w:tc>
        <w:tc>
          <w:tcPr>
            <w:tcW w:w="1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None (8)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1,000,000</w:t>
            </w:r>
          </w:p>
        </w:tc>
        <w:tc>
          <w:tcPr>
            <w:tcW w:w="18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None (5)</w:t>
            </w:r>
          </w:p>
        </w:tc>
        <w:tc>
          <w:tcPr>
            <w:tcW w:w="16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None (5)</w:t>
            </w:r>
          </w:p>
        </w:tc>
        <w:tc>
          <w:tcPr>
            <w:tcW w:w="0" w:type="dxa"/>
            <w:vAlign w:val="bottom"/>
          </w:tcPr>
          <w:p>
            <w:pPr>
              <w:spacing w:after="0"/>
              <w:rPr>
                <w:sz w:val="1"/>
                <w:szCs w:val="1"/>
                <w:color w:val="auto"/>
              </w:rPr>
            </w:pPr>
          </w:p>
        </w:tc>
      </w:tr>
      <w:tr>
        <w:trPr>
          <w:trHeight w:val="202"/>
        </w:trPr>
        <w:tc>
          <w:tcPr>
            <w:tcW w:w="462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rPr>
              <w:t>Expiration date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January 1,</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January 1,</w:t>
            </w:r>
          </w:p>
        </w:tc>
        <w:tc>
          <w:tcPr>
            <w:tcW w:w="18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8"/>
                <w:szCs w:val="18"/>
                <w:color w:val="auto"/>
                <w:w w:val="99"/>
              </w:rPr>
              <w:t>NA (5)</w:t>
            </w: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8"/>
                <w:szCs w:val="18"/>
                <w:color w:val="auto"/>
                <w:w w:val="99"/>
              </w:rPr>
              <w:t>NA (5)</w:t>
            </w:r>
          </w:p>
        </w:tc>
        <w:tc>
          <w:tcPr>
            <w:tcW w:w="0" w:type="dxa"/>
            <w:vAlign w:val="bottom"/>
          </w:tcPr>
          <w:p>
            <w:pPr>
              <w:spacing w:after="0"/>
              <w:rPr>
                <w:sz w:val="1"/>
                <w:szCs w:val="1"/>
                <w:color w:val="auto"/>
              </w:rPr>
            </w:pPr>
          </w:p>
        </w:tc>
      </w:tr>
      <w:tr>
        <w:trPr>
          <w:trHeight w:val="122"/>
        </w:trPr>
        <w:tc>
          <w:tcPr>
            <w:tcW w:w="1280" w:type="dxa"/>
            <w:vAlign w:val="bottom"/>
            <w:shd w:val="clear" w:color="auto" w:fill="CCEEFF"/>
          </w:tcPr>
          <w:p>
            <w:pPr>
              <w:spacing w:after="0"/>
              <w:rPr>
                <w:sz w:val="10"/>
                <w:szCs w:val="10"/>
                <w:color w:val="auto"/>
              </w:rPr>
            </w:pPr>
          </w:p>
        </w:tc>
        <w:tc>
          <w:tcPr>
            <w:tcW w:w="3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0"/>
                <w:szCs w:val="10"/>
                <w:color w:val="auto"/>
              </w:rPr>
            </w:pPr>
          </w:p>
        </w:tc>
        <w:tc>
          <w:tcPr>
            <w:tcW w:w="114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shd w:val="clear" w:color="auto" w:fill="CCEEFF"/>
          </w:tcPr>
          <w:p>
            <w:pPr>
              <w:spacing w:after="0"/>
              <w:rPr>
                <w:sz w:val="9"/>
                <w:szCs w:val="9"/>
                <w:color w:val="auto"/>
              </w:rPr>
            </w:pPr>
          </w:p>
        </w:tc>
        <w:tc>
          <w:tcPr>
            <w:tcW w:w="3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200"/>
              <w:spacing w:after="0"/>
              <w:rPr>
                <w:sz w:val="20"/>
                <w:szCs w:val="20"/>
                <w:color w:val="auto"/>
              </w:rPr>
            </w:pPr>
            <w:r>
              <w:rPr>
                <w:rFonts w:ascii="Arial" w:cs="Arial" w:eastAsia="Arial" w:hAnsi="Arial"/>
                <w:sz w:val="18"/>
                <w:szCs w:val="18"/>
                <w:color w:val="auto"/>
              </w:rPr>
              <w:t>Excess of loss coverage and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facultative facility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340"/>
              <w:spacing w:after="0"/>
              <w:rPr>
                <w:sz w:val="20"/>
                <w:szCs w:val="20"/>
                <w:color w:val="auto"/>
              </w:rPr>
            </w:pPr>
            <w:r>
              <w:rPr>
                <w:rFonts w:ascii="Arial" w:cs="Arial" w:eastAsia="Arial" w:hAnsi="Arial"/>
                <w:sz w:val="18"/>
                <w:szCs w:val="18"/>
                <w:color w:val="auto"/>
              </w:rPr>
              <w:t>coverage (1) (7)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8,000,000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8,400,000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8,400,000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8,000,000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40" w:right="3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in excess of</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in excess of</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in excess of</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in excess of</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in excess of</w:t>
            </w:r>
          </w:p>
        </w:tc>
      </w:tr>
      <w:tr>
        <w:trPr>
          <w:trHeight w:val="216"/>
        </w:trPr>
        <w:tc>
          <w:tcPr>
            <w:tcW w:w="3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1,000,000</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reinsurance coverage</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500" w:type="dxa"/>
            <w:vAlign w:val="bottom"/>
          </w:tcPr>
          <w:p>
            <w:pPr>
              <w:ind w:left="340"/>
              <w:spacing w:after="0"/>
              <w:rPr>
                <w:sz w:val="20"/>
                <w:szCs w:val="20"/>
                <w:color w:val="auto"/>
              </w:rPr>
            </w:pPr>
            <w:r>
              <w:rPr>
                <w:rFonts w:ascii="Arial" w:cs="Arial" w:eastAsia="Arial" w:hAnsi="Arial"/>
                <w:sz w:val="18"/>
                <w:szCs w:val="18"/>
                <w:color w:val="auto"/>
              </w:rPr>
              <w:t>per occurrence (5) (7) (8)</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8,500,000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8,500,000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8,000,000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8,000,000</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per occurrence</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500" w:type="dxa"/>
            <w:vAlign w:val="bottom"/>
          </w:tcPr>
          <w:p>
            <w:pPr>
              <w:ind w:left="340"/>
              <w:spacing w:after="0"/>
              <w:rPr>
                <w:sz w:val="20"/>
                <w:szCs w:val="20"/>
                <w:color w:val="auto"/>
              </w:rPr>
            </w:pPr>
            <w:r>
              <w:rPr>
                <w:rFonts w:ascii="Arial" w:cs="Arial" w:eastAsia="Arial" w:hAnsi="Arial"/>
                <w:sz w:val="18"/>
                <w:szCs w:val="18"/>
                <w:color w:val="auto"/>
              </w:rPr>
              <w:t>subject to reinsurance</w:t>
            </w: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coverage (5) (8)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9,000,000</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Expiration date (8)</w:t>
            </w:r>
          </w:p>
        </w:tc>
        <w:tc>
          <w:tcPr>
            <w:tcW w:w="12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w w:val="87"/>
              </w:rPr>
              <w:t>June 30, 2023</w:t>
            </w:r>
          </w:p>
        </w:tc>
        <w:tc>
          <w:tcPr>
            <w:tcW w:w="16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w w:val="87"/>
              </w:rPr>
              <w:t>June 30, 2023</w:t>
            </w:r>
          </w:p>
        </w:tc>
        <w:tc>
          <w:tcPr>
            <w:tcW w:w="2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7"/>
              </w:rPr>
              <w:t>June 30, 2022</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w w:val="85"/>
              </w:rPr>
              <w:t>June 30, 2022</w:t>
            </w:r>
          </w:p>
        </w:tc>
        <w:tc>
          <w:tcPr>
            <w:tcW w:w="2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87"/>
              </w:rPr>
              <w:t>June 30, 2021</w:t>
            </w:r>
          </w:p>
        </w:tc>
      </w:tr>
      <w:tr>
        <w:trPr>
          <w:trHeight w:val="216"/>
        </w:trPr>
        <w:tc>
          <w:tcPr>
            <w:tcW w:w="3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Catastrophe Reinsurance:</w:t>
            </w: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Initial loss subject to personal</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500" w:type="dxa"/>
            <w:vAlign w:val="bottom"/>
          </w:tcPr>
          <w:p>
            <w:pPr>
              <w:ind w:left="340"/>
              <w:spacing w:after="0"/>
              <w:rPr>
                <w:sz w:val="20"/>
                <w:szCs w:val="20"/>
                <w:color w:val="auto"/>
              </w:rPr>
            </w:pPr>
            <w:r>
              <w:rPr>
                <w:rFonts w:ascii="Arial" w:cs="Arial" w:eastAsia="Arial" w:hAnsi="Arial"/>
                <w:sz w:val="18"/>
                <w:szCs w:val="18"/>
                <w:color w:val="auto"/>
              </w:rPr>
              <w:t>lines quota share treaty</w:t>
            </w:r>
          </w:p>
        </w:tc>
        <w:tc>
          <w:tcPr>
            <w:tcW w:w="1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10,000,000</w:t>
            </w:r>
          </w:p>
        </w:tc>
        <w:tc>
          <w:tcPr>
            <w:tcW w:w="2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10,000,000</w:t>
            </w:r>
          </w:p>
        </w:tc>
        <w:tc>
          <w:tcPr>
            <w:tcW w:w="24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None (5)</w:t>
            </w:r>
          </w:p>
        </w:tc>
        <w:tc>
          <w:tcPr>
            <w:tcW w:w="20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color w:val="auto"/>
                <w:w w:val="91"/>
              </w:rPr>
              <w:t>None (5)</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Risk retained per catastrophe</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500" w:type="dxa"/>
            <w:vAlign w:val="bottom"/>
          </w:tcPr>
          <w:p>
            <w:pPr>
              <w:ind w:left="340"/>
              <w:spacing w:after="0"/>
              <w:rPr>
                <w:sz w:val="20"/>
                <w:szCs w:val="20"/>
                <w:color w:val="auto"/>
              </w:rPr>
            </w:pPr>
            <w:r>
              <w:rPr>
                <w:rFonts w:ascii="Arial" w:cs="Arial" w:eastAsia="Arial" w:hAnsi="Arial"/>
                <w:sz w:val="18"/>
                <w:szCs w:val="18"/>
                <w:color w:val="auto"/>
              </w:rPr>
              <w:t>occurrence (5) (8) (9) (10)</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7,400,000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7,400,000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10,000,000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10,000,000</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Catastrophe loss coverage</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500" w:type="dxa"/>
            <w:vAlign w:val="bottom"/>
          </w:tcPr>
          <w:p>
            <w:pPr>
              <w:ind w:left="340"/>
              <w:spacing w:after="0"/>
              <w:rPr>
                <w:sz w:val="20"/>
                <w:szCs w:val="20"/>
                <w:color w:val="auto"/>
              </w:rPr>
            </w:pPr>
            <w:r>
              <w:rPr>
                <w:rFonts w:ascii="Arial" w:cs="Arial" w:eastAsia="Arial" w:hAnsi="Arial"/>
                <w:sz w:val="18"/>
                <w:szCs w:val="18"/>
                <w:color w:val="auto"/>
              </w:rPr>
              <w:t>in excess of quota share</w:t>
            </w: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coverage (2) (5) (8)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335,000,000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335,000,000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490,000,000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490,000,000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475,000,000</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Catastrophe stub coverage for</w:t>
            </w: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period from October 18,</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500" w:type="dxa"/>
            <w:vAlign w:val="bottom"/>
          </w:tcPr>
          <w:p>
            <w:pPr>
              <w:ind w:left="340"/>
              <w:spacing w:after="0"/>
              <w:rPr>
                <w:sz w:val="20"/>
                <w:szCs w:val="20"/>
                <w:color w:val="auto"/>
              </w:rPr>
            </w:pPr>
            <w:r>
              <w:rPr>
                <w:rFonts w:ascii="Arial" w:cs="Arial" w:eastAsia="Arial" w:hAnsi="Arial"/>
                <w:sz w:val="18"/>
                <w:szCs w:val="18"/>
                <w:color w:val="auto"/>
              </w:rPr>
              <w:t>2021 through December 31,</w:t>
            </w: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2021 (6)</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5,000,000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NA</w:t>
            </w:r>
          </w:p>
        </w:tc>
      </w:tr>
      <w:tr>
        <w:trPr>
          <w:trHeight w:val="216"/>
        </w:trPr>
        <w:tc>
          <w:tcPr>
            <w:tcW w:w="3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w w:val="98"/>
              </w:rPr>
              <w:t>in excess of</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5,000,000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Reinstatement premium</w:t>
            </w: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protection (3) (4)</w:t>
            </w: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Yes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Yes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Yes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Yes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3"/>
              </w:rPr>
              <w:t>Yes</w:t>
            </w:r>
          </w:p>
        </w:tc>
      </w:tr>
    </w:tbl>
    <w:p>
      <w:pPr>
        <w:spacing w:after="0" w:line="202" w:lineRule="exact"/>
        <w:rPr>
          <w:sz w:val="20"/>
          <w:szCs w:val="20"/>
          <w:color w:val="auto"/>
        </w:rPr>
      </w:pPr>
    </w:p>
    <w:p>
      <w:pPr>
        <w:ind w:left="460" w:right="680" w:hanging="452"/>
        <w:spacing w:after="0" w:line="308"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personal lines, includes the addition of an automatic facultative facility allowing KICO to obtain homeowners single risk coverage up to $9,000,000 in total insured value, which covers direct losses from $3,500,000 to $9,000,000 through June 30, 2023.</w:t>
      </w:r>
    </w:p>
    <w:p>
      <w:pPr>
        <w:spacing w:after="0" w:line="146" w:lineRule="exact"/>
        <w:rPr>
          <w:rFonts w:ascii="Arial" w:cs="Arial" w:eastAsia="Arial" w:hAnsi="Arial"/>
          <w:sz w:val="17"/>
          <w:szCs w:val="17"/>
          <w:color w:val="auto"/>
        </w:rPr>
      </w:pPr>
    </w:p>
    <w:p>
      <w:pPr>
        <w:ind w:left="460" w:right="34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the period July 1, 2020 through June 30, 2021, reinstatement premium protection for $70,000,000 of catastrophe coverage in excess of</w:t>
      </w:r>
    </w:p>
    <w:p>
      <w:pPr>
        <w:spacing w:after="0" w:line="34" w:lineRule="exact"/>
        <w:rPr>
          <w:rFonts w:ascii="Arial" w:cs="Arial" w:eastAsia="Arial" w:hAnsi="Arial"/>
          <w:sz w:val="17"/>
          <w:szCs w:val="17"/>
          <w:color w:val="auto"/>
        </w:rPr>
      </w:pPr>
    </w:p>
    <w:p>
      <w:pPr>
        <w:ind w:left="460" w:right="520"/>
        <w:spacing w:after="0" w:line="260" w:lineRule="auto"/>
        <w:rPr>
          <w:rFonts w:ascii="Arial" w:cs="Arial" w:eastAsia="Arial" w:hAnsi="Arial"/>
          <w:sz w:val="17"/>
          <w:szCs w:val="17"/>
          <w:color w:val="auto"/>
        </w:rPr>
      </w:pPr>
      <w:r>
        <w:rPr>
          <w:rFonts w:ascii="Arial" w:cs="Arial" w:eastAsia="Arial" w:hAnsi="Arial"/>
          <w:sz w:val="18"/>
          <w:szCs w:val="18"/>
          <w:color w:val="auto"/>
        </w:rPr>
        <w:t>$10,000,000. For the period July 1, 2021 through June 30, 2022, reinstatement premium protection for $70,000,000 of catastrophe coverage in excess of $10,000,000.</w:t>
      </w:r>
    </w:p>
    <w:p>
      <w:pPr>
        <w:spacing w:after="0" w:line="185" w:lineRule="exact"/>
        <w:rPr>
          <w:rFonts w:ascii="Arial" w:cs="Arial" w:eastAsia="Arial" w:hAnsi="Arial"/>
          <w:sz w:val="17"/>
          <w:szCs w:val="17"/>
          <w:color w:val="auto"/>
        </w:rPr>
      </w:pPr>
    </w:p>
    <w:p>
      <w:pPr>
        <w:ind w:left="460" w:right="88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period July 1, 2022 through June 30, 2023, reinstatement premium protection for $9,800,000 of catastrophe coverage in excess of $10,000,000.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460" w:right="38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personal lines quota share (homeowners, dwelling fire and canine legal liability) expired on December 30, 2020; reinsurance coverage from December 31, 2020 through December 30, 2021 is only for excess of loss and catastrophe reinsurance.</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freeze and freeze related claims.</w:t>
      </w:r>
    </w:p>
    <w:p>
      <w:pPr>
        <w:spacing w:after="0" w:line="225" w:lineRule="exact"/>
        <w:rPr>
          <w:rFonts w:ascii="Arial" w:cs="Arial" w:eastAsia="Arial" w:hAnsi="Arial"/>
          <w:sz w:val="18"/>
          <w:szCs w:val="18"/>
          <w:color w:val="auto"/>
        </w:rPr>
      </w:pPr>
    </w:p>
    <w:p>
      <w:pPr>
        <w:ind w:left="460" w:right="160" w:hanging="452"/>
        <w:spacing w:after="0" w:line="34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the period January 1, 2022 through January 1, 2023, underlying excess of loss treaty provides 50% reinsurance coverage for losses of $400,000 in excess of $600,000. Reduces retention to $500,000 from $700,000 under the 2021/2023 Treaty. Excludes losses from named storms.</w:t>
      </w:r>
    </w:p>
    <w:p>
      <w:pPr>
        <w:spacing w:after="0" w:line="123" w:lineRule="exact"/>
        <w:rPr>
          <w:rFonts w:ascii="Arial" w:cs="Arial" w:eastAsia="Arial" w:hAnsi="Arial"/>
          <w:sz w:val="16"/>
          <w:szCs w:val="16"/>
          <w:color w:val="auto"/>
        </w:rPr>
      </w:pPr>
    </w:p>
    <w:p>
      <w:pPr>
        <w:ind w:left="460" w:right="60" w:hanging="452"/>
        <w:spacing w:after="0" w:line="34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Personal lines quota share (homeowners, dwelling fire and canine liability) and underlying excess of loss reinsurance will expire on January 1, 2023; reinsurance coverage in effect from January 2, 2023 through June 30, 2023 is only for excess of loss and catastrophe reinsurance treaties.</w:t>
      </w:r>
    </w:p>
    <w:p>
      <w:pPr>
        <w:spacing w:after="0" w:line="123"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2021/2023 Treaty, 4% of the 30% total of losses ceded under this treaty are excluded from a named catastrophe event.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1"/>
              </w:rPr>
              <w:t>Treaty Year</w:t>
            </w: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July 1, 2022</w:t>
            </w:r>
          </w:p>
        </w:tc>
        <w:tc>
          <w:tcPr>
            <w:tcW w:w="80" w:type="dxa"/>
            <w:vAlign w:val="bottom"/>
          </w:tcPr>
          <w:p>
            <w:pPr>
              <w:spacing w:after="0"/>
              <w:rPr>
                <w:sz w:val="16"/>
                <w:szCs w:val="16"/>
                <w:color w:val="auto"/>
              </w:rPr>
            </w:pPr>
          </w:p>
        </w:tc>
        <w:tc>
          <w:tcPr>
            <w:tcW w:w="13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July 1, 2021</w:t>
            </w:r>
          </w:p>
        </w:tc>
        <w:tc>
          <w:tcPr>
            <w:tcW w:w="80" w:type="dxa"/>
            <w:vAlign w:val="bottom"/>
          </w:tcPr>
          <w:p>
            <w:pPr>
              <w:spacing w:after="0"/>
              <w:rPr>
                <w:sz w:val="16"/>
                <w:szCs w:val="16"/>
                <w:color w:val="auto"/>
              </w:rPr>
            </w:pPr>
          </w:p>
        </w:tc>
        <w:tc>
          <w:tcPr>
            <w:tcW w:w="1020" w:type="dxa"/>
            <w:vAlign w:val="bottom"/>
          </w:tcPr>
          <w:p>
            <w:pPr>
              <w:spacing w:after="0" w:line="191" w:lineRule="exact"/>
              <w:rPr>
                <w:sz w:val="20"/>
                <w:szCs w:val="20"/>
                <w:color w:val="auto"/>
              </w:rPr>
            </w:pPr>
            <w:r>
              <w:rPr>
                <w:rFonts w:ascii="Arial" w:cs="Arial" w:eastAsia="Arial" w:hAnsi="Arial"/>
                <w:sz w:val="18"/>
                <w:szCs w:val="18"/>
                <w:b w:val="1"/>
                <w:bCs w:val="1"/>
                <w:color w:val="auto"/>
                <w:w w:val="98"/>
              </w:rPr>
              <w:t>July 1, 2020</w:t>
            </w:r>
          </w:p>
        </w:tc>
        <w:tc>
          <w:tcPr>
            <w:tcW w:w="160" w:type="dxa"/>
            <w:vAlign w:val="bottom"/>
          </w:tcPr>
          <w:p>
            <w:pPr>
              <w:spacing w:after="0"/>
              <w:rPr>
                <w:sz w:val="16"/>
                <w:szCs w:val="16"/>
                <w:color w:val="auto"/>
              </w:rPr>
            </w:pP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Arial" w:cs="Arial" w:eastAsia="Arial" w:hAnsi="Arial"/>
                <w:sz w:val="18"/>
                <w:szCs w:val="18"/>
                <w:b w:val="1"/>
                <w:bCs w:val="1"/>
                <w:color w:val="auto"/>
              </w:rPr>
              <w:t>to</w:t>
            </w:r>
          </w:p>
        </w:tc>
      </w:tr>
      <w:tr>
        <w:trPr>
          <w:trHeight w:val="234"/>
        </w:trPr>
        <w:tc>
          <w:tcPr>
            <w:tcW w:w="7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Line of Business</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2023</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2022</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June 30, 2021</w:t>
            </w:r>
          </w:p>
        </w:tc>
        <w:tc>
          <w:tcPr>
            <w:tcW w:w="160" w:type="dxa"/>
            <w:vAlign w:val="bottom"/>
          </w:tcPr>
          <w:p>
            <w:pPr>
              <w:spacing w:after="0"/>
              <w:rPr>
                <w:sz w:val="20"/>
                <w:szCs w:val="20"/>
                <w:color w:val="auto"/>
              </w:rPr>
            </w:pPr>
          </w:p>
        </w:tc>
      </w:tr>
      <w:tr>
        <w:trPr>
          <w:trHeight w:val="411"/>
        </w:trPr>
        <w:tc>
          <w:tcPr>
            <w:tcW w:w="7220" w:type="dxa"/>
            <w:vAlign w:val="bottom"/>
            <w:gridSpan w:val="2"/>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7220" w:type="dxa"/>
            <w:vAlign w:val="bottom"/>
            <w:gridSpan w:val="2"/>
          </w:tcPr>
          <w:p>
            <w:pPr>
              <w:ind w:left="60"/>
              <w:spacing w:after="0"/>
              <w:rPr>
                <w:sz w:val="20"/>
                <w:szCs w:val="20"/>
                <w:color w:val="auto"/>
              </w:rPr>
            </w:pPr>
            <w:r>
              <w:rPr>
                <w:rFonts w:ascii="Arial" w:cs="Arial" w:eastAsia="Arial" w:hAnsi="Arial"/>
                <w:sz w:val="18"/>
                <w:szCs w:val="18"/>
                <w:color w:val="auto"/>
              </w:rPr>
              <w:t>Personal Umbrella</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7220" w:type="dxa"/>
            <w:vAlign w:val="bottom"/>
            <w:gridSpan w:val="2"/>
          </w:tcPr>
          <w:p>
            <w:pPr>
              <w:ind w:left="2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7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Percent ceded - first $1,000,000 of coverage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7220" w:type="dxa"/>
            <w:vAlign w:val="bottom"/>
            <w:gridSpan w:val="2"/>
          </w:tcPr>
          <w:p>
            <w:pPr>
              <w:ind w:left="540"/>
              <w:spacing w:after="0"/>
              <w:rPr>
                <w:sz w:val="20"/>
                <w:szCs w:val="20"/>
                <w:color w:val="auto"/>
              </w:rPr>
            </w:pPr>
            <w:r>
              <w:rPr>
                <w:rFonts w:ascii="Arial" w:cs="Arial" w:eastAsia="Arial" w:hAnsi="Arial"/>
                <w:sz w:val="18"/>
                <w:szCs w:val="18"/>
                <w:color w:val="auto"/>
              </w:rPr>
              <w:t>Percent ceded - excess of $1,000,000 dollars of coverage</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216"/>
        </w:trPr>
        <w:tc>
          <w:tcPr>
            <w:tcW w:w="7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Risk retained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r>
      <w:tr>
        <w:trPr>
          <w:trHeight w:val="216"/>
        </w:trPr>
        <w:tc>
          <w:tcPr>
            <w:tcW w:w="7220" w:type="dxa"/>
            <w:vAlign w:val="bottom"/>
            <w:gridSpan w:val="2"/>
          </w:tcPr>
          <w:p>
            <w:pPr>
              <w:ind w:left="540"/>
              <w:spacing w:after="0"/>
              <w:rPr>
                <w:sz w:val="20"/>
                <w:szCs w:val="20"/>
                <w:color w:val="auto"/>
              </w:rPr>
            </w:pPr>
            <w:r>
              <w:rPr>
                <w:rFonts w:ascii="Arial" w:cs="Arial" w:eastAsia="Arial" w:hAnsi="Arial"/>
                <w:sz w:val="18"/>
                <w:szCs w:val="18"/>
                <w:color w:val="auto"/>
              </w:rPr>
              <w:t>Total reinsurance coverage per occurrence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4,700,000</w:t>
            </w:r>
          </w:p>
        </w:tc>
      </w:tr>
      <w:tr>
        <w:trPr>
          <w:trHeight w:val="216"/>
        </w:trPr>
        <w:tc>
          <w:tcPr>
            <w:tcW w:w="7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r>
      <w:tr>
        <w:trPr>
          <w:trHeight w:val="216"/>
        </w:trPr>
        <w:tc>
          <w:tcPr>
            <w:tcW w:w="7220" w:type="dxa"/>
            <w:vAlign w:val="bottom"/>
            <w:gridSpan w:val="2"/>
          </w:tcPr>
          <w:p>
            <w:pPr>
              <w:ind w:left="220"/>
              <w:spacing w:after="0"/>
              <w:rPr>
                <w:sz w:val="20"/>
                <w:szCs w:val="20"/>
                <w:color w:val="auto"/>
              </w:rPr>
            </w:pPr>
            <w:r>
              <w:rPr>
                <w:rFonts w:ascii="Arial" w:cs="Arial" w:eastAsia="Arial" w:hAnsi="Arial"/>
                <w:sz w:val="18"/>
                <w:szCs w:val="18"/>
                <w:color w:val="auto"/>
              </w:rPr>
              <w:t>Expiration date</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June 30, 2023</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June 30, 2022</w:t>
            </w:r>
          </w:p>
        </w:tc>
        <w:tc>
          <w:tcPr>
            <w:tcW w:w="8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w w:val="99"/>
              </w:rPr>
              <w:t>June 30, 2021</w:t>
            </w:r>
          </w:p>
        </w:tc>
      </w:tr>
      <w:tr>
        <w:trPr>
          <w:trHeight w:val="216"/>
        </w:trPr>
        <w:tc>
          <w:tcPr>
            <w:tcW w:w="7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Commercial Lines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General liability commercial policies</w:t>
      </w:r>
    </w:p>
    <w:p>
      <w:pPr>
        <w:sectPr>
          <w:pgSz w:w="11900" w:h="16838" w:orient="portrait"/>
          <w:cols w:equalWidth="0" w:num="1">
            <w:col w:w="11240"/>
          </w:cols>
          <w:pgMar w:left="320" w:top="140" w:right="33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7040" w:type="dxa"/>
            <w:vAlign w:val="bottom"/>
          </w:tcPr>
          <w:p>
            <w:pPr>
              <w:ind w:left="220"/>
              <w:spacing w:after="0"/>
              <w:rPr>
                <w:sz w:val="20"/>
                <w:szCs w:val="20"/>
                <w:color w:val="auto"/>
              </w:rPr>
            </w:pPr>
            <w:r>
              <w:rPr>
                <w:rFonts w:ascii="Arial" w:cs="Arial" w:eastAsia="Arial" w:hAnsi="Arial"/>
                <w:sz w:val="18"/>
                <w:szCs w:val="18"/>
                <w:color w:val="auto"/>
              </w:rPr>
              <w:t>Quota share treaty</w:t>
            </w:r>
          </w:p>
        </w:tc>
        <w:tc>
          <w:tcPr>
            <w:tcW w:w="310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None</w:t>
            </w:r>
          </w:p>
        </w:tc>
      </w:tr>
      <w:tr>
        <w:trPr>
          <w:trHeight w:val="216"/>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Risk retained</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750,000</w:t>
            </w:r>
          </w:p>
        </w:tc>
      </w:tr>
      <w:tr>
        <w:trPr>
          <w:trHeight w:val="216"/>
        </w:trPr>
        <w:tc>
          <w:tcPr>
            <w:tcW w:w="7040" w:type="dxa"/>
            <w:vAlign w:val="bottom"/>
          </w:tcPr>
          <w:p>
            <w:pPr>
              <w:ind w:left="220"/>
              <w:spacing w:after="0"/>
              <w:rPr>
                <w:sz w:val="20"/>
                <w:szCs w:val="20"/>
                <w:color w:val="auto"/>
              </w:rPr>
            </w:pPr>
            <w:r>
              <w:rPr>
                <w:rFonts w:ascii="Arial" w:cs="Arial" w:eastAsia="Arial" w:hAnsi="Arial"/>
                <w:sz w:val="18"/>
                <w:szCs w:val="18"/>
                <w:color w:val="auto"/>
              </w:rPr>
              <w:t>Excess of loss coverage above risk retained</w:t>
            </w:r>
          </w:p>
        </w:tc>
        <w:tc>
          <w:tcPr>
            <w:tcW w:w="31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3,750,000</w:t>
            </w:r>
          </w:p>
        </w:tc>
      </w:tr>
      <w:tr>
        <w:trPr>
          <w:trHeight w:val="216"/>
        </w:trPr>
        <w:tc>
          <w:tcPr>
            <w:tcW w:w="70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6"/>
              </w:rPr>
              <w:t>in excess of</w:t>
            </w:r>
          </w:p>
        </w:tc>
      </w:tr>
      <w:tr>
        <w:trPr>
          <w:trHeight w:val="216"/>
        </w:trPr>
        <w:tc>
          <w:tcPr>
            <w:tcW w:w="7040" w:type="dxa"/>
            <w:vAlign w:val="bottom"/>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750,000</w:t>
            </w:r>
          </w:p>
        </w:tc>
      </w:tr>
      <w:tr>
        <w:trPr>
          <w:trHeight w:val="216"/>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reinsurance coverage per occurrence</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3,750,000</w:t>
            </w:r>
          </w:p>
        </w:tc>
      </w:tr>
      <w:tr>
        <w:trPr>
          <w:trHeight w:val="216"/>
        </w:trPr>
        <w:tc>
          <w:tcPr>
            <w:tcW w:w="7040" w:type="dxa"/>
            <w:vAlign w:val="bottom"/>
          </w:tcPr>
          <w:p>
            <w:pPr>
              <w:ind w:left="220"/>
              <w:spacing w:after="0"/>
              <w:rPr>
                <w:sz w:val="20"/>
                <w:szCs w:val="20"/>
                <w:color w:val="auto"/>
              </w:rPr>
            </w:pPr>
            <w:r>
              <w:rPr>
                <w:rFonts w:ascii="Arial" w:cs="Arial" w:eastAsia="Arial" w:hAnsi="Arial"/>
                <w:sz w:val="18"/>
                <w:szCs w:val="18"/>
                <w:color w:val="auto"/>
              </w:rPr>
              <w:t>Losses per occurrence subject to reinsurance coverage</w:t>
            </w:r>
          </w:p>
        </w:tc>
        <w:tc>
          <w:tcPr>
            <w:tcW w:w="31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4,500,000</w:t>
            </w:r>
          </w:p>
        </w:tc>
      </w:tr>
      <w:tr>
        <w:trPr>
          <w:trHeight w:val="216"/>
        </w:trPr>
        <w:tc>
          <w:tcPr>
            <w:tcW w:w="70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040" w:type="dxa"/>
            <w:vAlign w:val="bottom"/>
          </w:tcPr>
          <w:p>
            <w:pPr>
              <w:ind w:left="60"/>
              <w:spacing w:after="0"/>
              <w:rPr>
                <w:sz w:val="20"/>
                <w:szCs w:val="20"/>
                <w:color w:val="auto"/>
              </w:rPr>
            </w:pPr>
            <w:r>
              <w:rPr>
                <w:rFonts w:ascii="Arial" w:cs="Arial" w:eastAsia="Arial" w:hAnsi="Arial"/>
                <w:sz w:val="18"/>
                <w:szCs w:val="18"/>
                <w:color w:val="auto"/>
              </w:rPr>
              <w:t>Commercial Umbrella</w:t>
            </w:r>
          </w:p>
        </w:tc>
        <w:tc>
          <w:tcPr>
            <w:tcW w:w="3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Quota share treaty</w:t>
            </w:r>
          </w:p>
        </w:tc>
        <w:tc>
          <w:tcPr>
            <w:tcW w:w="3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None</w:t>
            </w:r>
          </w:p>
        </w:tc>
      </w:tr>
    </w:tbl>
    <w:p>
      <w:pPr>
        <w:spacing w:after="0" w:line="202" w:lineRule="exact"/>
        <w:rPr>
          <w:sz w:val="20"/>
          <w:szCs w:val="20"/>
          <w:color w:val="auto"/>
        </w:rPr>
      </w:pPr>
    </w:p>
    <w:p>
      <w:pPr>
        <w:ind w:left="900" w:hanging="447"/>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Coverage on all commercial lines policies expired in September 2020; reinsurance coverage is based on treaties in effect on the date of loss.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earned ceding commission revenue under the 2021/2023 Treaty for the three months and six months ended June 30, 2022 based on a fixed provisional commission rate at which provisional ceding commissions will be earned. There was no quota share treaty in effect during the three months and six months ended June 30, 2021. The Company earned ceding commission revenue under its expired quota share reinsurance agreements based on: (i) a fixed provisional commission rate at which provisional ceding commissions were earned, and (ii) a continuing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Ceding commission revenue consists of the following:</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3"/>
              </w:rPr>
              <w:t>Three months ended</w:t>
            </w:r>
          </w:p>
        </w:tc>
        <w:tc>
          <w:tcPr>
            <w:tcW w:w="160" w:type="dxa"/>
            <w:vAlign w:val="bottom"/>
          </w:tcPr>
          <w:p>
            <w:pPr>
              <w:spacing w:after="0"/>
              <w:rPr>
                <w:sz w:val="24"/>
                <w:szCs w:val="24"/>
                <w:color w:val="auto"/>
              </w:rPr>
            </w:pPr>
          </w:p>
        </w:tc>
        <w:tc>
          <w:tcPr>
            <w:tcW w:w="20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2021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Provisional ceding commissions earned</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4,692,931</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49,589</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9,234,464</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95,088</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Contingent ceding commissions earned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22,656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(3,848)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162,519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(50,412)</w:t>
            </w:r>
          </w:p>
        </w:tc>
      </w:tr>
      <w:tr>
        <w:trPr>
          <w:trHeight w:val="20"/>
        </w:trPr>
        <w:tc>
          <w:tcPr>
            <w:tcW w:w="8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60" w:type="dxa"/>
            <w:vAlign w:val="bottom"/>
          </w:tcPr>
          <w:p>
            <w:pPr>
              <w:spacing w:after="0"/>
              <w:rPr>
                <w:sz w:val="19"/>
                <w:szCs w:val="19"/>
                <w:color w:val="auto"/>
              </w:rPr>
            </w:pPr>
          </w:p>
        </w:tc>
        <w:tc>
          <w:tcPr>
            <w:tcW w:w="40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4,715,587</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45,741</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9,396,983</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44,676</w:t>
            </w:r>
          </w:p>
        </w:tc>
        <w:tc>
          <w:tcPr>
            <w:tcW w:w="100" w:type="dxa"/>
            <w:vAlign w:val="bottom"/>
            <w:shd w:val="clear" w:color="auto" w:fill="CCEEFF"/>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Provisional ceding commissions are settled monthly. Balances due from reinsurers for contingent ceding commissions on quota share treaties are settled periodically based on the Loss Ratio of each treaty year that ends on June 30, for the expired treaties that were subject to contingent commissions. As discussed above, the Loss Ratios from prior years’ treaties are subject to change as incurred losses from those periods develop, resulting in an increase or decrease in the commission rate and contingent ceding commissions earned. As of June 30, 2022 and December 31, 2021, net contingent ceding commissions payable to reinsurers under all treaties was approximately $2,718,000 and $2,881,000, respectively, which is recorded in reinsurance balances payable on the accompanying condensed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Home Loan Bank</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July 2017, KICO became a member of, and invested in the Federal Home Loan Bank of New York (“FHLBNY”). KICO is required to maintain an investment in capital stock of FHLBNY. Based on redemption provisions of FHLBNY, the stock has no quoted market value and is carried at cost. At its discretion, FHLBNY may declare dividends on the stock. Management reviews for impairment based on the ultimate recoverability of the cost basis in the stock. At June 30, 2022 and December 31, 2021, no impairment has been recognized. FHLBNY members have access to a variety of flexible, low-cost funding through FHLBNY’s credit products, enabling members to customize advances, which are to be fully collateralized. Eligible collateral to pledge to FHLBNY includes residential and commercial mortgage-backed securities, along with U.S. Treasury and agency securities. Advances are limited to 5% of KICO’s net admitted assets as of the previous quarter and are due and payable within one year of borrowing. KICO is currently able to borrow on an overnight basis. If KICO has collateral, the maximum allowable advance as of June 30, 2022 was approximately $12,438,000. Advances are limited to 85% of the amount of available collateral, which as of June 30, 2022 and December 31, 2021 was $-0-. There have been no borrowings under this facility since KICO became a member of FHLBNY. See Note 13 – Subsequent Events for additional information regarding KICO’s pledged collateral.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December 19, 2017, the Company issued $30 million of its 5.50% Senior Unsecured Notes due December 30, 2022 (the “Notes”) in an underwritten public offering. Interest is payable semi-annually in arrears on June 30 and December 30 of each year, which began on June 30, 2018 at the rate of 5.50%</w:t>
      </w:r>
    </w:p>
    <w:p>
      <w:pPr>
        <w:sectPr>
          <w:pgSz w:w="11900" w:h="16838" w:orient="portrait"/>
          <w:cols w:equalWidth="0" w:num="1">
            <w:col w:w="11240"/>
          </w:cols>
          <w:pgMar w:left="320" w:top="125" w:right="339" w:bottom="0" w:gutter="0" w:footer="0" w:header="0"/>
        </w:sectPr>
      </w:pPr>
    </w:p>
    <w:bookmarkStart w:id="19" w:name="page20"/>
    <w:bookmarkEnd w:id="19"/>
    <w:p>
      <w:pPr>
        <w:ind w:right="20"/>
        <w:spacing w:after="0" w:line="277" w:lineRule="auto"/>
        <w:rPr>
          <w:sz w:val="20"/>
          <w:szCs w:val="20"/>
          <w:color w:val="auto"/>
        </w:rPr>
      </w:pPr>
      <w:r>
        <w:rPr>
          <w:rFonts w:ascii="Arial" w:cs="Arial" w:eastAsia="Arial" w:hAnsi="Arial"/>
          <w:sz w:val="18"/>
          <w:szCs w:val="18"/>
          <w:color w:val="auto"/>
        </w:rPr>
        <w:t>per annum. The net proceeds of the issuance were $29,121,630, net of discount of $163,200 and transaction costs of $715,170, for an effective yield of 5.67% per annum. The balance of debt as of June 30, 2022 and December 31, 2021 is as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December</w:t>
            </w:r>
          </w:p>
        </w:tc>
      </w:tr>
      <w:tr>
        <w:trPr>
          <w:trHeight w:val="216"/>
        </w:trPr>
        <w:tc>
          <w:tcPr>
            <w:tcW w:w="73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r>
      <w:tr>
        <w:trPr>
          <w:trHeight w:val="234"/>
        </w:trPr>
        <w:tc>
          <w:tcPr>
            <w:tcW w:w="736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73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5.50% Senior Unsecured Notes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$ 30,000,000</w:t>
            </w:r>
          </w:p>
        </w:tc>
        <w:tc>
          <w:tcPr>
            <w:tcW w:w="1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$ 30,000,000</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40"/>
              <w:spacing w:after="0"/>
              <w:rPr>
                <w:sz w:val="20"/>
                <w:szCs w:val="20"/>
                <w:color w:val="auto"/>
              </w:rPr>
            </w:pPr>
            <w:r>
              <w:rPr>
                <w:rFonts w:ascii="Arial" w:cs="Arial" w:eastAsia="Arial" w:hAnsi="Arial"/>
                <w:sz w:val="18"/>
                <w:szCs w:val="18"/>
                <w:color w:val="auto"/>
              </w:rPr>
              <w:t>Discount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(16,221)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(32,442)</w:t>
            </w:r>
          </w:p>
        </w:tc>
      </w:tr>
      <w:tr>
        <w:trPr>
          <w:trHeight w:val="216"/>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costs</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(71,898)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(143,767)</w:t>
            </w:r>
          </w:p>
        </w:tc>
      </w:tr>
      <w:tr>
        <w:trPr>
          <w:trHeight w:val="20"/>
        </w:trPr>
        <w:tc>
          <w:tcPr>
            <w:tcW w:w="73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360" w:type="dxa"/>
            <w:vAlign w:val="bottom"/>
          </w:tcPr>
          <w:p>
            <w:pPr>
              <w:ind w:left="40"/>
              <w:spacing w:after="0"/>
              <w:rPr>
                <w:sz w:val="20"/>
                <w:szCs w:val="20"/>
                <w:color w:val="auto"/>
              </w:rPr>
            </w:pPr>
            <w:r>
              <w:rPr>
                <w:rFonts w:ascii="Arial" w:cs="Arial" w:eastAsia="Arial" w:hAnsi="Arial"/>
                <w:sz w:val="18"/>
                <w:szCs w:val="18"/>
                <w:color w:val="auto"/>
              </w:rPr>
              <w:t>Debt, net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$ 29,911,881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$ 29,823,791</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Notes are unsecured obligations of the Company and are not the obligations of or guaranteed by any of the Company's subsidiaries. The Notes rank senior in right of payment to any of the Company's existing and future indebtedness that is by its terms expressly subordinated or junior in right of payment to the Notes. The Notes rank equally in right of payment to all of the Company's existing and future senior indebtedness, but will be effectively subordinated to any secured indebtedness to the extent of the value of the collateral securing such secured indebtedness. In addition, the Notes will be structurally subordinated to the indebtedness and other obligations of the Company's subsidiaries. The Company may redeem the Notes, at any time in whole or from time to time in part, at the redemption price equal to the greater of: (i) 100% of the principal amount of the Notes to be redeemed; and (ii) the sum of the present values of the remaining scheduled payments of principal and interest on the Notes to be redeemed that would be due if the Notes matured on the applicable redemption date (exclusive of interest accrued to the applicable redemption date) discounted to the redemption date on a semi-annual basis at the Treasury Rate, plus 50 basis points (“Make Whole Call”).</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Due to the Make Whole Call, management intends to retire the Notes at or close to the scheduled maturity date in December 2022. Management plans to refinance the Notes with a new issue of debt of similar or longer maturity that would result in net proceeds equal to or greater than the principal amount of the current issue. In connection therewith, the Company has engaged an investment banker to serve as exclusive placement agent for a proposed offering by the Company of its securities (including debt, equity and/or preferred securities). The engagement letter indicates that the offering would be of such size as to generate proceeds to the Company of no less than $30,000,000. Subject to regulatory requirements, the Company also plans to use dividends paid to it by KICO, its insurance subsidiary, to repay the Notes. As of June 30, 2022, KICO had negative unassigned surplus and was not permitted to pay the Company any dividends without prior regulatory approval. Further, the Company plans to use available invested assets and cash to repay the Notes. As of June 30, 2022, invested assets and cash of Kingstone was approximately $2,780,000.</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used an aggregate $28,256,335 of the net proceeds from the offering to contribute capital to KICO in order to support additional growth. The remainder of the net proceeds was used for general corporate purposes. A registration statement relating to the debt issued in the offering was filed with the SEC, which became effective on November 28, 2017.</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 and Paid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Dividends declared and paid on Common Stock were $851,266 and $854,272 for the six months ended June 30, 2022 and 2021, respectively. The Company announced on August 11, 2022 that its Board of Directors approved a quarterly dividend of $0.04 per share payable in cash on September 15, 2022 to stockholders of record as of August 31, 2022 (see Note 13 - Subsequent Events).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August 12, 2014, the Company adopted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determines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are authorized to be issued pursuant to the 2014 Plan to 1,400,000.</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operations for the three months ended June 30, 2022 and 2021 include stock-based compensation expense for stock options totaling approximately $2,000 and $14,000, respectively. The results of operations for the six months ended June 30, 2022 and 2021 include stock-based compensation expense for stock options totaling approximately $8,000 and $29,000, respectively. Stock-based compensation expense related to stock options for the three months and six months ended June 30, 2022 and 2021 is net of estimated forfeitures of approximately 18% and 16%, respectively. Such amounts have been included in the condensed consolidated statements of operations and comprehensive (loss) income within other operating expenses.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 options were granted during the six months ended June 30, 2022. The fair value of stock options at the grant date are estimated using the Black-Scholes option-pricing model. 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00EE"/>
        </w:rPr>
        <w:t>Table of Contents</w:t>
      </w:r>
    </w:p>
    <w:p>
      <w:pPr>
        <w:sectPr>
          <w:pgSz w:w="11900" w:h="16838" w:orient="portrait"/>
          <w:cols w:equalWidth="0" w:num="1">
            <w:col w:w="11240"/>
          </w:cols>
          <w:pgMar w:left="320" w:top="125" w:right="339" w:bottom="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A summary of stock option activity under the Company’s 2014 Plan for the six months ended June 30,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420" w:type="dxa"/>
            <w:vAlign w:val="bottom"/>
            <w:gridSpan w:val="4"/>
          </w:tcPr>
          <w:p>
            <w:pPr>
              <w:spacing w:after="0"/>
              <w:rPr>
                <w:sz w:val="20"/>
                <w:szCs w:val="20"/>
                <w:color w:val="auto"/>
              </w:rPr>
            </w:pPr>
            <w:r>
              <w:rPr>
                <w:rFonts w:ascii="Arial" w:cs="Arial" w:eastAsia="Arial" w:hAnsi="Arial"/>
                <w:sz w:val="18"/>
                <w:szCs w:val="18"/>
                <w:b w:val="1"/>
                <w:bCs w:val="1"/>
                <w:color w:val="auto"/>
              </w:rPr>
              <w:t>Exercise Price</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940" w:type="dxa"/>
            <w:vAlign w:val="bottom"/>
          </w:tcPr>
          <w:p>
            <w:pPr>
              <w:ind w:left="2440"/>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9"/>
              </w:rPr>
              <w:t>per Share</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Term</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107,201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Expired/Forfeited</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2022</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107,201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5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June 30, 2022</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94,701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aggregate intrinsic value of options outstanding and options exercisable at June 30, 2022 is calculated as the difference between the exercise price of the underlying options and the market price of the Company’s Common Stock for the options that had exercise prices that were lower than the $3.94 closing price of the Company’s Common Stock on June 30, 2022. No options were exercised, forfeited or expired during the six months ended June 30, 2022. The total intrinsic value of options when forfeited are determined as of the date of forfeiture. The total intrinsic value of options when expired are determined as of the date of expiration.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Participants in the 2014 Plan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2022, the estimated fair value of unamortized compensation cost related to unvested stock option awards was approximately $2,000.</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Unamortized compensation cost as of June 30, 2022 is expected to be recognized over a remaining weighted-average vesting period of 0.24 years.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there were 352,066 shares reserved for grants under the 2014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restricted Common Stock activity under the Company’s 2014 Plan for six months ended June 30, 2022 is as follows: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Grant Date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5"/>
              </w:rPr>
              <w:t>Aggregate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tcPr>
          <w:p>
            <w:pPr>
              <w:ind w:left="2100"/>
              <w:spacing w:after="0"/>
              <w:rPr>
                <w:sz w:val="20"/>
                <w:szCs w:val="20"/>
                <w:color w:val="auto"/>
              </w:rPr>
            </w:pPr>
            <w:r>
              <w:rPr>
                <w:rFonts w:ascii="Arial" w:cs="Arial" w:eastAsia="Arial" w:hAnsi="Arial"/>
                <w:sz w:val="18"/>
                <w:szCs w:val="18"/>
                <w:b w:val="1"/>
                <w:bCs w:val="1"/>
                <w:color w:val="auto"/>
              </w:rPr>
              <w:t>Restricted Stock Awards</w:t>
            </w:r>
          </w:p>
        </w:tc>
        <w:tc>
          <w:tcPr>
            <w:tcW w:w="1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per Share</w:t>
            </w:r>
          </w:p>
        </w:tc>
        <w:tc>
          <w:tcPr>
            <w:tcW w:w="180" w:type="dxa"/>
            <w:vAlign w:val="bottom"/>
          </w:tcPr>
          <w:p>
            <w:pPr>
              <w:spacing w:after="0"/>
              <w:rPr>
                <w:sz w:val="20"/>
                <w:szCs w:val="20"/>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535,410</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98,456</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Vested</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(234,219)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(1,715,220)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389,899</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2,582,506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Fair value was calculated using the closing price of the Company’s Common Stock on the grant date. For the three months ended June 30, 2022 and 2021, stock-based compensation for these grants was approximately $479,000 and $472,000, respectively, which is included in other operating expenses on the accompanying condensed consolidated statements of operations and comprehensive (loss) income. For the six months ended June 30, 2022 and 2021, stock-based compensation for these grants was approximately $998,000 and $952,000, respectively, which is included in other operating expenses on the accompanying condensed consolidated statements of operations and comprehensive (loss) income. These amounts reflect the Company’s accounting expense and do not correspond to the actual value that will be recognized by the directors, executives and employees.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19, 2021, the Company’s Board of Directors adopted the Kingstone Companies, Inc. Employee Stock Purchase Plan (the “ESPP”), subject to stockholder approval. Such approval was obtained on August 10, 2021. The purpose of the ESPP is to provide eligible employees of the Company with an opportunity to use payroll deductions to purchase shares of Common Stock of the Company. The maximum number of shares of Common Stock that may be purchased under the ESPP is 750,000, subject to adjustment as provided for in the ESPP. The ESPP was effective August 10, 2021 and expires on August 10, 2031. A maximum of 5,000 shares of Common Stock may be purchased by an employee during any offering period.</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ESPP currently provides for an offering period from November 1, 2021 through October 31, 2022 (“2021/2022 Offering”). For the three months ended June 30, 2022 and 2021, stock-based compensation under the 2021/2022 Offering was approximately $5,000 and $-0-, respectively, which is included in</w:t>
      </w:r>
    </w:p>
    <w:p>
      <w:pPr>
        <w:sectPr>
          <w:pgSz w:w="11900" w:h="16838" w:orient="portrait"/>
          <w:cols w:equalWidth="0" w:num="1">
            <w:col w:w="11240"/>
          </w:cols>
          <w:pgMar w:left="320" w:top="341" w:right="339" w:bottom="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7"/>
          <w:szCs w:val="17"/>
          <w:color w:val="auto"/>
        </w:rPr>
        <w:t>other operating expenses on the accompanying condensed consolidated statements of operations and comprehensive loss. For the six months ended June 30, 2022 and 2021, stock-based compensation under the 2021/2022 Offering was approximately $11,000 and $-0-, respectively, which is included in other operating expenses on the accompanying condensed consolidated statements of operations and comprehensive (loss) income.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1280" w:type="dxa"/>
            <w:vAlign w:val="bottom"/>
            <w:tcBorders>
              <w:bottom w:val="single" w:sz="8" w:color="auto"/>
            </w:tcBorders>
          </w:tcPr>
          <w:p>
            <w:pPr>
              <w:spacing w:after="0"/>
              <w:rPr>
                <w:sz w:val="20"/>
                <w:szCs w:val="20"/>
                <w:color w:val="auto"/>
              </w:rPr>
            </w:pPr>
          </w:p>
        </w:tc>
        <w:tc>
          <w:tcPr>
            <w:tcW w:w="6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426"/>
        </w:trPr>
        <w:tc>
          <w:tcPr>
            <w:tcW w:w="7380" w:type="dxa"/>
            <w:vAlign w:val="bottom"/>
            <w:gridSpan w:val="2"/>
          </w:tcPr>
          <w:p>
            <w:pPr>
              <w:ind w:left="60"/>
              <w:spacing w:after="0"/>
              <w:rPr>
                <w:sz w:val="20"/>
                <w:szCs w:val="20"/>
                <w:color w:val="auto"/>
              </w:rPr>
            </w:pPr>
            <w:r>
              <w:rPr>
                <w:rFonts w:ascii="Arial" w:cs="Arial" w:eastAsia="Arial" w:hAnsi="Arial"/>
                <w:sz w:val="18"/>
                <w:szCs w:val="18"/>
                <w:color w:val="auto"/>
              </w:rPr>
              <w:t>Deferred tax asset: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operating loss carryovers (1)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3,689,538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1,112,318</w:t>
            </w:r>
          </w:p>
        </w:tc>
      </w:tr>
      <w:tr>
        <w:trPr>
          <w:trHeight w:val="216"/>
        </w:trPr>
        <w:tc>
          <w:tcPr>
            <w:tcW w:w="7380" w:type="dxa"/>
            <w:vAlign w:val="bottom"/>
            <w:gridSpan w:val="2"/>
          </w:tcPr>
          <w:p>
            <w:pPr>
              <w:ind w:left="220"/>
              <w:spacing w:after="0"/>
              <w:rPr>
                <w:sz w:val="20"/>
                <w:szCs w:val="20"/>
                <w:color w:val="auto"/>
              </w:rPr>
            </w:pPr>
            <w:r>
              <w:rPr>
                <w:rFonts w:ascii="Arial" w:cs="Arial" w:eastAsia="Arial" w:hAnsi="Arial"/>
                <w:sz w:val="18"/>
                <w:szCs w:val="18"/>
                <w:color w:val="auto"/>
              </w:rPr>
              <w:t>Claims reserve discount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1,140,458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1,186,789</w:t>
            </w:r>
          </w:p>
        </w:tc>
      </w:tr>
      <w:tr>
        <w:trPr>
          <w:trHeight w:val="216"/>
        </w:trPr>
        <w:tc>
          <w:tcPr>
            <w:tcW w:w="7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Unearned premium</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3,391,201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3,246,364</w:t>
            </w:r>
          </w:p>
        </w:tc>
      </w:tr>
      <w:tr>
        <w:trPr>
          <w:trHeight w:val="216"/>
        </w:trPr>
        <w:tc>
          <w:tcPr>
            <w:tcW w:w="7380" w:type="dxa"/>
            <w:vAlign w:val="bottom"/>
            <w:gridSpan w:val="2"/>
          </w:tcPr>
          <w:p>
            <w:pPr>
              <w:ind w:left="220"/>
              <w:spacing w:after="0"/>
              <w:rPr>
                <w:sz w:val="20"/>
                <w:szCs w:val="20"/>
                <w:color w:val="auto"/>
              </w:rPr>
            </w:pPr>
            <w:r>
              <w:rPr>
                <w:rFonts w:ascii="Arial" w:cs="Arial" w:eastAsia="Arial" w:hAnsi="Arial"/>
                <w:sz w:val="18"/>
                <w:szCs w:val="18"/>
                <w:color w:val="auto"/>
              </w:rPr>
              <w:t>Deferred ceding commission revenue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2,049,461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2,047,187</w:t>
            </w:r>
          </w:p>
        </w:tc>
      </w:tr>
      <w:tr>
        <w:trPr>
          <w:trHeight w:val="216"/>
        </w:trPr>
        <w:tc>
          <w:tcPr>
            <w:tcW w:w="7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unrealized losses on securities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3,002,462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1,057,762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1,220,898</w:t>
            </w:r>
          </w:p>
        </w:tc>
      </w:tr>
      <w:tr>
        <w:trPr>
          <w:trHeight w:val="20"/>
        </w:trPr>
        <w:tc>
          <w:tcPr>
            <w:tcW w:w="12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14,330,882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8,813,556</w:t>
            </w:r>
          </w:p>
        </w:tc>
      </w:tr>
      <w:tr>
        <w:trPr>
          <w:trHeight w:val="210"/>
        </w:trPr>
        <w:tc>
          <w:tcPr>
            <w:tcW w:w="1280" w:type="dxa"/>
            <w:vAlign w:val="bottom"/>
            <w:tcBorders>
              <w:top w:val="single" w:sz="8" w:color="CCEEFF"/>
            </w:tcBorders>
          </w:tcPr>
          <w:p>
            <w:pPr>
              <w:spacing w:after="0"/>
              <w:rPr>
                <w:sz w:val="18"/>
                <w:szCs w:val="18"/>
                <w:color w:val="auto"/>
              </w:rPr>
            </w:pPr>
          </w:p>
        </w:tc>
        <w:tc>
          <w:tcPr>
            <w:tcW w:w="6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gridSpan w:val="2"/>
          </w:tcPr>
          <w:p>
            <w:pPr>
              <w:ind w:left="220"/>
              <w:spacing w:after="0"/>
              <w:rPr>
                <w:sz w:val="20"/>
                <w:szCs w:val="20"/>
                <w:color w:val="auto"/>
              </w:rPr>
            </w:pPr>
            <w:r>
              <w:rPr>
                <w:rFonts w:ascii="Arial" w:cs="Arial" w:eastAsia="Arial" w:hAnsi="Arial"/>
                <w:sz w:val="18"/>
                <w:szCs w:val="18"/>
                <w:color w:val="auto"/>
              </w:rPr>
              <w:t>Investment in KICO (2)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759,543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759,543</w:t>
            </w:r>
          </w:p>
        </w:tc>
      </w:tr>
      <w:tr>
        <w:trPr>
          <w:trHeight w:val="216"/>
        </w:trPr>
        <w:tc>
          <w:tcPr>
            <w:tcW w:w="7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acquisition costs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4,625,447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4,670,187</w:t>
            </w:r>
          </w:p>
        </w:tc>
      </w:tr>
      <w:tr>
        <w:trPr>
          <w:trHeight w:val="216"/>
        </w:trPr>
        <w:tc>
          <w:tcPr>
            <w:tcW w:w="7380" w:type="dxa"/>
            <w:vAlign w:val="bottom"/>
            <w:gridSpan w:val="2"/>
          </w:tcPr>
          <w:p>
            <w:pPr>
              <w:ind w:left="220"/>
              <w:spacing w:after="0"/>
              <w:rPr>
                <w:sz w:val="20"/>
                <w:szCs w:val="20"/>
                <w:color w:val="auto"/>
              </w:rPr>
            </w:pPr>
            <w:r>
              <w:rPr>
                <w:rFonts w:ascii="Arial" w:cs="Arial" w:eastAsia="Arial" w:hAnsi="Arial"/>
                <w:sz w:val="18"/>
                <w:szCs w:val="18"/>
                <w:color w:val="auto"/>
              </w:rPr>
              <w:t>Intangibles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105,000</w:t>
            </w:r>
          </w:p>
        </w:tc>
      </w:tr>
      <w:tr>
        <w:trPr>
          <w:trHeight w:val="216"/>
        </w:trPr>
        <w:tc>
          <w:tcPr>
            <w:tcW w:w="7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1,496,800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1,046,817</w:t>
            </w:r>
          </w:p>
        </w:tc>
      </w:tr>
      <w:tr>
        <w:trPr>
          <w:trHeight w:val="216"/>
        </w:trPr>
        <w:tc>
          <w:tcPr>
            <w:tcW w:w="7380" w:type="dxa"/>
            <w:vAlign w:val="bottom"/>
            <w:gridSpan w:val="2"/>
          </w:tcPr>
          <w:p>
            <w:pPr>
              <w:ind w:left="220"/>
              <w:spacing w:after="0"/>
              <w:rPr>
                <w:sz w:val="20"/>
                <w:szCs w:val="20"/>
                <w:color w:val="auto"/>
              </w:rPr>
            </w:pPr>
            <w:r>
              <w:rPr>
                <w:rFonts w:ascii="Arial" w:cs="Arial" w:eastAsia="Arial" w:hAnsi="Arial"/>
                <w:sz w:val="18"/>
                <w:szCs w:val="18"/>
                <w:color w:val="auto"/>
              </w:rPr>
              <w:t>Net unrealized gains on securities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2,039,756</w:t>
            </w:r>
          </w:p>
        </w:tc>
      </w:tr>
      <w:tr>
        <w:trPr>
          <w:trHeight w:val="20"/>
        </w:trPr>
        <w:tc>
          <w:tcPr>
            <w:tcW w:w="12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6,986,790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8,621,303</w:t>
            </w:r>
          </w:p>
        </w:tc>
      </w:tr>
      <w:tr>
        <w:trPr>
          <w:trHeight w:val="209"/>
        </w:trPr>
        <w:tc>
          <w:tcPr>
            <w:tcW w:w="1280" w:type="dxa"/>
            <w:vAlign w:val="bottom"/>
            <w:tcBorders>
              <w:top w:val="single" w:sz="8" w:color="CCEEFF"/>
            </w:tcBorders>
          </w:tcPr>
          <w:p>
            <w:pPr>
              <w:spacing w:after="0"/>
              <w:rPr>
                <w:sz w:val="18"/>
                <w:szCs w:val="18"/>
                <w:color w:val="auto"/>
              </w:rPr>
            </w:pPr>
          </w:p>
        </w:tc>
        <w:tc>
          <w:tcPr>
            <w:tcW w:w="6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Net deferred income tax asset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7,344,092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192,253</w:t>
            </w:r>
          </w:p>
        </w:tc>
      </w:tr>
      <w:tr>
        <w:trPr>
          <w:trHeight w:val="413"/>
        </w:trPr>
        <w:tc>
          <w:tcPr>
            <w:tcW w:w="73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(1)   The deferred tax assets from net operating loss carryovers (“NOL”) are as follows:</w:t>
            </w: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648"/>
        </w:trPr>
        <w:tc>
          <w:tcPr>
            <w:tcW w:w="7380" w:type="dxa"/>
            <w:vAlign w:val="bottom"/>
            <w:tcBorders>
              <w:bottom w:val="single" w:sz="8" w:color="auto"/>
            </w:tcBorders>
            <w:gridSpan w:val="2"/>
          </w:tcPr>
          <w:p>
            <w:pPr>
              <w:ind w:left="554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1"/>
        </w:trPr>
        <w:tc>
          <w:tcPr>
            <w:tcW w:w="738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24"/>
                <w:szCs w:val="24"/>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3"/>
              </w:rPr>
              <w:t>December 31,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100" w:type="dxa"/>
            <w:vAlign w:val="bottom"/>
          </w:tcPr>
          <w:p>
            <w:pPr>
              <w:ind w:left="1940"/>
              <w:spacing w:after="0"/>
              <w:rPr>
                <w:sz w:val="20"/>
                <w:szCs w:val="20"/>
                <w:color w:val="auto"/>
              </w:rPr>
            </w:pPr>
            <w:r>
              <w:rPr>
                <w:rFonts w:ascii="Arial" w:cs="Arial" w:eastAsia="Arial" w:hAnsi="Arial"/>
                <w:sz w:val="18"/>
                <w:szCs w:val="18"/>
                <w:b w:val="1"/>
                <w:bCs w:val="1"/>
                <w:color w:val="auto"/>
              </w:rPr>
              <w:t>Type of NOL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Expiration</w:t>
            </w:r>
          </w:p>
        </w:tc>
      </w:tr>
      <w:tr>
        <w:trPr>
          <w:trHeight w:val="209"/>
        </w:trPr>
        <w:tc>
          <w:tcPr>
            <w:tcW w:w="1280" w:type="dxa"/>
            <w:vAlign w:val="bottom"/>
            <w:tcBorders>
              <w:top w:val="single" w:sz="8" w:color="auto"/>
            </w:tcBorders>
          </w:tcPr>
          <w:p>
            <w:pPr>
              <w:spacing w:after="0"/>
              <w:rPr>
                <w:sz w:val="18"/>
                <w:szCs w:val="18"/>
                <w:color w:val="auto"/>
              </w:rPr>
            </w:pPr>
          </w:p>
        </w:tc>
        <w:tc>
          <w:tcPr>
            <w:tcW w:w="6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only, NOL from 2022 and 2021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3,689,538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1,112,318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NOL carried back</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only, NOL from 2022 and 2021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3,689,538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1,112,318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None</w:t>
            </w:r>
          </w:p>
        </w:tc>
      </w:tr>
      <w:tr>
        <w:trPr>
          <w:trHeight w:val="210"/>
        </w:trPr>
        <w:tc>
          <w:tcPr>
            <w:tcW w:w="1280" w:type="dxa"/>
            <w:vAlign w:val="bottom"/>
            <w:tcBorders>
              <w:top w:val="single" w:sz="8" w:color="CCEEFF"/>
            </w:tcBorders>
          </w:tcPr>
          <w:p>
            <w:pPr>
              <w:spacing w:after="0"/>
              <w:rPr>
                <w:sz w:val="18"/>
                <w:szCs w:val="18"/>
                <w:color w:val="auto"/>
              </w:rPr>
            </w:pPr>
          </w:p>
        </w:tc>
        <w:tc>
          <w:tcPr>
            <w:tcW w:w="6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spacing w:after="0"/>
              <w:rPr>
                <w:sz w:val="18"/>
                <w:szCs w:val="18"/>
                <w:color w:val="auto"/>
              </w:rPr>
            </w:pPr>
          </w:p>
        </w:tc>
      </w:tr>
      <w:tr>
        <w:trPr>
          <w:trHeight w:val="202"/>
        </w:trPr>
        <w:tc>
          <w:tcPr>
            <w:tcW w:w="7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State only (A)</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w:t>
            </w:r>
          </w:p>
        </w:tc>
      </w:tr>
      <w:tr>
        <w:trPr>
          <w:trHeight w:val="216"/>
        </w:trPr>
        <w:tc>
          <w:tcPr>
            <w:tcW w:w="128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2027 -</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w:t>
            </w:r>
          </w:p>
        </w:tc>
      </w:tr>
      <w:tr>
        <w:trPr>
          <w:trHeight w:val="230"/>
        </w:trPr>
        <w:tc>
          <w:tcPr>
            <w:tcW w:w="1280" w:type="dxa"/>
            <w:vAlign w:val="bottom"/>
            <w:shd w:val="clear" w:color="auto" w:fill="CCEEFF"/>
          </w:tcPr>
          <w:p>
            <w:pPr>
              <w:spacing w:after="0"/>
              <w:rPr>
                <w:sz w:val="20"/>
                <w:szCs w:val="20"/>
                <w:color w:val="auto"/>
              </w:rPr>
            </w:pPr>
          </w:p>
        </w:tc>
        <w:tc>
          <w:tcPr>
            <w:tcW w:w="6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2,166,732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2,099,239</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2042</w:t>
            </w:r>
          </w:p>
        </w:tc>
        <w:tc>
          <w:tcPr>
            <w:tcW w:w="100" w:type="dxa"/>
            <w:vAlign w:val="bottom"/>
            <w:shd w:val="clear" w:color="auto" w:fill="CCEEFF"/>
          </w:tcPr>
          <w:p>
            <w:pPr>
              <w:spacing w:after="0"/>
              <w:rPr>
                <w:sz w:val="20"/>
                <w:szCs w:val="20"/>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(2,166,732)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(2,099,239)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only, net of valuation allowance</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deferred tax asset from net operating loss carryovers</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3,689,538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1,112,318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80" w:firstLine="8"/>
        <w:spacing w:after="0" w:line="296" w:lineRule="auto"/>
        <w:tabs>
          <w:tab w:leader="none" w:pos="295" w:val="left"/>
        </w:tabs>
        <w:numPr>
          <w:ilvl w:val="0"/>
          <w:numId w:val="6"/>
        </w:numPr>
        <w:rPr>
          <w:rFonts w:ascii="Arial" w:cs="Arial" w:eastAsia="Arial" w:hAnsi="Arial"/>
          <w:sz w:val="16"/>
          <w:szCs w:val="16"/>
          <w:color w:val="auto"/>
        </w:rPr>
      </w:pPr>
      <w:r>
        <w:rPr>
          <w:rFonts w:ascii="Arial" w:cs="Arial" w:eastAsia="Arial" w:hAnsi="Arial"/>
          <w:sz w:val="16"/>
          <w:szCs w:val="16"/>
          <w:color w:val="auto"/>
        </w:rPr>
        <w:t>Kingstone generates operating losses for state purposes and has prior year NOLs available. The state NOL as of June 30, 2022 and December 31, 2021 was approximately $33,334,000 and $32,296,000, respectively. KICO, the Company’s insurance underwriting subsidiary, is not subject to state income taxes. KICO’s state tax obligations are paid through a gross premiums tax, which is included in the condensed consolidated statements of operations and comprehensive (loss) income within other underwriting expenses. Kingstone has recorded a valuation allowance due to the uncertainty of generating enough state taxable income to utilize 100% of the available state NOLs over their remaining lives, which expire between 2027 and 2042.</w:t>
      </w:r>
    </w:p>
    <w:p>
      <w:pPr>
        <w:sectPr>
          <w:pgSz w:w="11900" w:h="16838" w:orient="portrait"/>
          <w:cols w:equalWidth="0" w:num="1">
            <w:col w:w="11240"/>
          </w:cols>
          <w:pgMar w:left="320" w:top="125" w:right="339" w:bottom="0" w:gutter="0" w:footer="0" w:header="0"/>
        </w:sectPr>
      </w:pPr>
    </w:p>
    <w:bookmarkStart w:id="22" w:name="page23"/>
    <w:bookmarkEnd w:id="22"/>
    <w:p>
      <w:pPr>
        <w:ind w:left="620"/>
        <w:spacing w:after="0"/>
        <w:rPr>
          <w:sz w:val="20"/>
          <w:szCs w:val="20"/>
          <w:color w:val="auto"/>
        </w:rPr>
      </w:pPr>
      <w:r>
        <w:rPr>
          <w:rFonts w:ascii="Arial" w:cs="Arial" w:eastAsia="Arial" w:hAnsi="Arial"/>
          <w:sz w:val="18"/>
          <w:szCs w:val="18"/>
          <w:color w:val="auto"/>
        </w:rPr>
        <w:t>(2) Deferred tax liability – Investment in KICO</w:t>
      </w:r>
    </w:p>
    <w:p>
      <w:pPr>
        <w:spacing w:after="0" w:line="225" w:lineRule="exact"/>
        <w:rPr>
          <w:sz w:val="20"/>
          <w:szCs w:val="20"/>
          <w:color w:val="auto"/>
        </w:rPr>
      </w:pPr>
    </w:p>
    <w:p>
      <w:pPr>
        <w:jc w:val="both"/>
        <w:ind w:left="620"/>
        <w:spacing w:after="0" w:line="269" w:lineRule="auto"/>
        <w:rPr>
          <w:sz w:val="20"/>
          <w:szCs w:val="20"/>
          <w:color w:val="auto"/>
        </w:rPr>
      </w:pPr>
      <w:r>
        <w:rPr>
          <w:rFonts w:ascii="Arial" w:cs="Arial" w:eastAsia="Arial" w:hAnsi="Arial"/>
          <w:sz w:val="17"/>
          <w:szCs w:val="17"/>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no material unrecognized tax benefit and no adjustments to liabilities or operations were required. There were no interest or penalties related to income taxes that have been accrued or recognized as of and for the six months ended June 30, 2022 and 2021. If any had been recognized these would have been reported in income tax expense.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Generally, taxing authorities may examine the Company’s tax returns for the three years from the date of filing. The Company’s tax returns for the years ended December 31, 2018 through December 31, 2020 remain subject to examination.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(Loss) Earnings Per Common Share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net (loss) earnings per common share is computed by dividing loss available to common shareholders by the weighted-average number of shares of Common Stock outstanding. Diluted loss per common share reflect, in periods in which they have a dilutive effect, the impact of common shares issuable upon exercise of stock options as well as non-vested restricted stock awards. The computation of diluted loss per common share excludes those options with an exercise price in excess of the average market price of the Company’s Common Stock during the periods presented.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computation of diluted loss per common share excludes outstanding options in periods where the exercise of such options would be anti-dilutive. For the three months and six months ended June 30, 2022 and 2021, no options were included in the computation of diluted loss per common share as they would have been anti-dilutive for the relevant periods and, as a result, the weighted average number of shares of Common Stock used in the calculation of diluted loss per common share has not been adjusted for the effect of such options.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reconciliation of the weighted average number of shares of Common Stock used in the calculation of basic and diluted (loss) earnings per common share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0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1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7"/>
              </w:rPr>
              <w:t>Six months ended</w:t>
            </w:r>
          </w:p>
        </w:tc>
      </w:tr>
      <w:tr>
        <w:trPr>
          <w:trHeight w:val="234"/>
        </w:trPr>
        <w:tc>
          <w:tcPr>
            <w:tcW w:w="5100" w:type="dxa"/>
            <w:vAlign w:val="bottom"/>
          </w:tcPr>
          <w:p>
            <w:pPr>
              <w:spacing w:after="0"/>
              <w:rPr>
                <w:sz w:val="20"/>
                <w:szCs w:val="20"/>
                <w:color w:val="auto"/>
              </w:rPr>
            </w:pPr>
          </w:p>
        </w:tc>
        <w:tc>
          <w:tcPr>
            <w:tcW w:w="208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21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June 30,</w:t>
            </w:r>
          </w:p>
        </w:tc>
      </w:tr>
      <w:tr>
        <w:trPr>
          <w:trHeight w:val="210"/>
        </w:trPr>
        <w:tc>
          <w:tcPr>
            <w:tcW w:w="5100" w:type="dxa"/>
            <w:vAlign w:val="bottom"/>
          </w:tcPr>
          <w:p>
            <w:pPr>
              <w:spacing w:after="0"/>
              <w:rPr>
                <w:sz w:val="18"/>
                <w:szCs w:val="18"/>
                <w:color w:val="auto"/>
              </w:rPr>
            </w:pP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1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9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10,644,578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10,670,831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10,637,553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10,673,550</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dilutive securities, common share equivalents: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 awards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175,893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136,374</w:t>
            </w:r>
          </w:p>
        </w:tc>
        <w:tc>
          <w:tcPr>
            <w:tcW w:w="100" w:type="dxa"/>
            <w:vAlign w:val="bottom"/>
            <w:shd w:val="clear" w:color="auto" w:fill="CCEEFF"/>
          </w:tcPr>
          <w:p>
            <w:pPr>
              <w:spacing w:after="0"/>
              <w:rPr>
                <w:sz w:val="18"/>
                <w:szCs w:val="18"/>
                <w:color w:val="auto"/>
              </w:rPr>
            </w:pPr>
          </w:p>
        </w:tc>
      </w:tr>
      <w:tr>
        <w:trPr>
          <w:trHeight w:val="210"/>
        </w:trPr>
        <w:tc>
          <w:tcPr>
            <w:tcW w:w="51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200"/>
              <w:spacing w:after="0"/>
              <w:rPr>
                <w:sz w:val="20"/>
                <w:szCs w:val="20"/>
                <w:color w:val="auto"/>
              </w:rPr>
            </w:pPr>
            <w:r>
              <w:rPr>
                <w:rFonts w:ascii="Arial" w:cs="Arial" w:eastAsia="Arial" w:hAnsi="Arial"/>
                <w:sz w:val="18"/>
                <w:szCs w:val="18"/>
                <w:color w:val="auto"/>
              </w:rPr>
              <w:t>used for computing diluted (loss) earnings per share</w:t>
            </w:r>
          </w:p>
        </w:tc>
        <w:tc>
          <w:tcPr>
            <w:tcW w:w="940" w:type="dxa"/>
            <w:vAlign w:val="bottom"/>
          </w:tcPr>
          <w:p>
            <w:pPr>
              <w:jc w:val="right"/>
              <w:spacing w:after="0"/>
              <w:rPr>
                <w:sz w:val="20"/>
                <w:szCs w:val="20"/>
                <w:color w:val="auto"/>
              </w:rPr>
            </w:pPr>
            <w:r>
              <w:rPr>
                <w:rFonts w:ascii="Arial" w:cs="Arial" w:eastAsia="Arial" w:hAnsi="Arial"/>
                <w:sz w:val="18"/>
                <w:szCs w:val="18"/>
                <w:color w:val="auto"/>
              </w:rPr>
              <w:t>10,644,578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10,846,724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10,637,553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10,809,924</w:t>
            </w:r>
          </w:p>
        </w:tc>
        <w:tc>
          <w:tcPr>
            <w:tcW w:w="10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 See Note 2 - Accounting Policies for additional information regarding the accounting for leases.</w:t>
      </w:r>
    </w:p>
    <w:p>
      <w:pPr>
        <w:sectPr>
          <w:pgSz w:w="11900" w:h="16838" w:orient="portrait"/>
          <w:cols w:equalWidth="0" w:num="1">
            <w:col w:w="11240"/>
          </w:cols>
          <w:pgMar w:left="320" w:top="125" w:right="339" w:bottom="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23" w:name="page24"/>
    <w:bookmarkEnd w:id="23"/>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 party to a non-cancellable operating lease, dated March 27, 2015, for its office facility for KICO located in Valley Stream, New York expiring March 31, 2024.</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8, 2019, the Company entered into a lease agreement for an additional office facility for Cosi located in Valley Stream, New York under a non-cancelable operating lease. The lease had a term of seven years and two months expiring December 31, 2026. During January 2022, pursuant to a mutual agreement with the landlord at a cost of $40,000, the Cosi lease was terminated effective as of January 31,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Additional information regarding the Company’s office operating leases is as follows: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Three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months</w:t>
            </w:r>
          </w:p>
        </w:tc>
        <w:tc>
          <w:tcPr>
            <w:tcW w:w="6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Six months</w:t>
            </w:r>
          </w:p>
        </w:tc>
      </w:tr>
      <w:tr>
        <w:trPr>
          <w:trHeight w:val="216"/>
        </w:trPr>
        <w:tc>
          <w:tcPr>
            <w:tcW w:w="8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ended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8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860" w:type="dxa"/>
            <w:vAlign w:val="bottom"/>
          </w:tcPr>
          <w:p>
            <w:pPr>
              <w:spacing w:after="0"/>
              <w:rPr>
                <w:sz w:val="20"/>
                <w:szCs w:val="20"/>
                <w:color w:val="auto"/>
              </w:rPr>
            </w:pPr>
          </w:p>
        </w:tc>
        <w:tc>
          <w:tcPr>
            <w:tcW w:w="71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Lease cost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Pr>
          <w:p>
            <w:pPr>
              <w:spacing w:after="0"/>
              <w:rPr>
                <w:sz w:val="20"/>
                <w:szCs w:val="20"/>
                <w:color w:val="auto"/>
              </w:rPr>
            </w:pPr>
          </w:p>
        </w:tc>
      </w:tr>
      <w:tr>
        <w:trPr>
          <w:trHeight w:val="209"/>
        </w:trPr>
        <w:tc>
          <w:tcPr>
            <w:tcW w:w="860" w:type="dxa"/>
            <w:vAlign w:val="bottom"/>
          </w:tcPr>
          <w:p>
            <w:pPr>
              <w:spacing w:after="0"/>
              <w:rPr>
                <w:sz w:val="18"/>
                <w:szCs w:val="18"/>
                <w:color w:val="auto"/>
              </w:rPr>
            </w:pPr>
          </w:p>
        </w:tc>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41,342</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89,810</w:t>
            </w: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140" w:type="dxa"/>
            <w:vAlign w:val="bottom"/>
          </w:tcPr>
          <w:p>
            <w:pPr>
              <w:ind w:left="40"/>
              <w:spacing w:after="0"/>
              <w:rPr>
                <w:sz w:val="20"/>
                <w:szCs w:val="20"/>
                <w:color w:val="auto"/>
              </w:rPr>
            </w:pPr>
            <w:r>
              <w:rPr>
                <w:rFonts w:ascii="Arial" w:cs="Arial" w:eastAsia="Arial" w:hAnsi="Arial"/>
                <w:sz w:val="18"/>
                <w:szCs w:val="18"/>
                <w:color w:val="auto"/>
              </w:rPr>
              <w:t>Short-term leases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50"/>
        </w:trPr>
        <w:tc>
          <w:tcPr>
            <w:tcW w:w="860" w:type="dxa"/>
            <w:vAlign w:val="bottom"/>
          </w:tcPr>
          <w:p>
            <w:pPr>
              <w:spacing w:after="0"/>
              <w:rPr>
                <w:sz w:val="21"/>
                <w:szCs w:val="21"/>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lease cost (1) (2)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41,342</w:t>
            </w:r>
          </w:p>
        </w:tc>
        <w:tc>
          <w:tcPr>
            <w:tcW w:w="2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89,810</w:t>
            </w:r>
          </w:p>
        </w:tc>
        <w:tc>
          <w:tcPr>
            <w:tcW w:w="160" w:type="dxa"/>
            <w:vAlign w:val="bottom"/>
            <w:shd w:val="clear" w:color="auto" w:fill="CCEEFF"/>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7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860" w:type="dxa"/>
            <w:vAlign w:val="bottom"/>
          </w:tcPr>
          <w:p>
            <w:pPr>
              <w:spacing w:after="0"/>
              <w:rPr>
                <w:sz w:val="18"/>
                <w:szCs w:val="18"/>
                <w:color w:val="auto"/>
              </w:rPr>
            </w:pPr>
          </w:p>
        </w:tc>
        <w:tc>
          <w:tcPr>
            <w:tcW w:w="7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information on operating leases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140" w:type="dxa"/>
            <w:vAlign w:val="bottom"/>
          </w:tcPr>
          <w:p>
            <w:pPr>
              <w:ind w:left="40"/>
              <w:spacing w:after="0"/>
              <w:rPr>
                <w:sz w:val="20"/>
                <w:szCs w:val="20"/>
                <w:color w:val="auto"/>
              </w:rPr>
            </w:pPr>
            <w:r>
              <w:rPr>
                <w:rFonts w:ascii="Arial" w:cs="Arial" w:eastAsia="Arial" w:hAnsi="Arial"/>
                <w:sz w:val="18"/>
                <w:szCs w:val="18"/>
                <w:color w:val="auto"/>
              </w:rPr>
              <w:t>Cash payments included in the measurement of lease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liability reported in operating cash flows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47,483</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100,486</w:t>
            </w: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14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r>
      <w:tr>
        <w:trPr>
          <w:trHeight w:val="216"/>
        </w:trPr>
        <w:tc>
          <w:tcPr>
            <w:tcW w:w="860" w:type="dxa"/>
            <w:vAlign w:val="bottom"/>
          </w:tcPr>
          <w:p>
            <w:pPr>
              <w:spacing w:after="0"/>
              <w:rPr>
                <w:sz w:val="18"/>
                <w:szCs w:val="18"/>
                <w:color w:val="auto"/>
              </w:rPr>
            </w:pPr>
          </w:p>
        </w:tc>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Remaing lease term in years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KICO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1.75 years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1.75 years</w:t>
            </w:r>
          </w:p>
        </w:tc>
      </w:tr>
      <w:tr>
        <w:trPr>
          <w:trHeight w:val="216"/>
        </w:trPr>
        <w:tc>
          <w:tcPr>
            <w:tcW w:w="86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Cosi</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900" w:right="320" w:hanging="447"/>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the condensed consolidated statements of operations and comprehensive loss within other underwriting expenses for KICO and within other operating expenses for Cosi.</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The following table presents the contractual maturities of the Company’s lease liabilities as of June 30, 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0" w:type="dxa"/>
            <w:vAlign w:val="bottom"/>
          </w:tcPr>
          <w:p>
            <w:pPr>
              <w:spacing w:after="0"/>
              <w:rPr>
                <w:sz w:val="24"/>
                <w:szCs w:val="24"/>
                <w:color w:val="auto"/>
              </w:rPr>
            </w:pPr>
          </w:p>
        </w:tc>
        <w:tc>
          <w:tcPr>
            <w:tcW w:w="8400" w:type="dxa"/>
            <w:vAlign w:val="bottom"/>
          </w:tcPr>
          <w:p>
            <w:pPr>
              <w:jc w:val="center"/>
              <w:spacing w:after="0"/>
              <w:rPr>
                <w:sz w:val="20"/>
                <w:szCs w:val="20"/>
                <w:color w:val="auto"/>
              </w:rPr>
            </w:pPr>
            <w:r>
              <w:rPr>
                <w:rFonts w:ascii="Arial" w:cs="Arial" w:eastAsia="Arial" w:hAnsi="Arial"/>
                <w:sz w:val="18"/>
                <w:szCs w:val="18"/>
                <w:b w:val="1"/>
                <w:bCs w:val="1"/>
                <w:color w:val="auto"/>
                <w:w w:val="91"/>
              </w:rPr>
              <w:t>For the Year</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8400" w:type="dxa"/>
            <w:vAlign w:val="bottom"/>
          </w:tcPr>
          <w:p>
            <w:pPr>
              <w:jc w:val="center"/>
              <w:spacing w:after="0"/>
              <w:rPr>
                <w:sz w:val="20"/>
                <w:szCs w:val="20"/>
                <w:color w:val="auto"/>
              </w:rPr>
            </w:pPr>
            <w:r>
              <w:rPr>
                <w:rFonts w:ascii="Arial" w:cs="Arial" w:eastAsia="Arial" w:hAnsi="Arial"/>
                <w:sz w:val="18"/>
                <w:szCs w:val="18"/>
                <w:b w:val="1"/>
                <w:bCs w:val="1"/>
                <w:color w:val="auto"/>
                <w:w w:val="91"/>
              </w:rPr>
              <w:t>Ending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8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8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94,967</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194,919</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Total undiscounted lease payments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339,031</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present value adjustment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Operating lease liability (1)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302,122</w:t>
            </w:r>
          </w:p>
        </w:tc>
        <w:tc>
          <w:tcPr>
            <w:tcW w:w="1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right="900" w:hanging="447"/>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operating lease liability is recorded in accounts payable, accrued expenses and other liabilities in the accompanying condensed consolidated balance sheets.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Rent expense for the three months ended June 30, 2022 and 2021 amounted to $41,342 and $58,988, respectively. Rent expense for the six months ended June 30, 2022 and 2021 amounted to $89,810 and $117,977, respectively. Rent expense is included in the accompanying condensed consolidated statements of operations and comprehensive (loss) income within other underwriting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Barry Goldstein, President, Chief Executive Officer and Executive Chairman of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January 1, 2020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14, 2019, the Company and Barry B. Goldstein, the Company’s President, Chief Executive Officer and Executive Chairman of the Board, entered into a Second Amended and Restated Employment Agreement (the “Second Amended Goldstein Employment Agreement”). The Second Amended Goldstein Employment Agreement became effective as of January 1, 2020 and expires on December 31, 2022. The Second Amended Goldstein Employment Agreement extends the expiration date of the employment agreement in effect for Mr. Goldstein from December 31, 2021 to December 31, 2022.</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the Second Amended Goldstein Employment Agreement, Mr. Goldstein is entitled to receive an annual base salary of $500,000 and an annual bonus equal to 6% of the Company’s consolidated income from operations before taxes, exclusive of the Company’s consolidated net investment income (loss), net unrealized gains (losses) on equity securities and net realized gains (losses) on investments, up to a maximum of 2.5 times his base salary. In addition, pursuant to the Second Amended Goldstein Employment Agreement, Mr. Goldstein was entitled to receive a long-term compensation (“LTC”) award of between $945,000 and $2,835,000 based on a specified minimum increase in the Company’s adjusted book value per share (as defined in the Second Amended Goldstein Employment Agreement) as of December 31, 2022 as compared to December 31, 2019 (with the maximum LTC payment being due if the average per annum increase is at least 14%). Pursuant to the Third Amended Goldstein Employment Agreement (discussed below), Mr. Goldstein relinquished the right to receive the LTC. Pursuant to the Second Amended Goldstein Employment Agreement, in the event that Mr. Goldstein’s</w:t>
      </w:r>
    </w:p>
    <w:p>
      <w:pPr>
        <w:sectPr>
          <w:pgSz w:w="11900" w:h="16860" w:orient="portrait"/>
          <w:cols w:equalWidth="0" w:num="1">
            <w:col w:w="11240"/>
          </w:cols>
          <w:pgMar w:left="320" w:top="260" w:right="339" w:bottom="0" w:gutter="0" w:footer="0" w:header="0"/>
        </w:sectPr>
      </w:pPr>
    </w:p>
    <w:bookmarkStart w:id="24" w:name="page25"/>
    <w:bookmarkEnd w:id="24"/>
    <w:p>
      <w:pPr>
        <w:jc w:val="both"/>
        <w:spacing w:after="0" w:line="272" w:lineRule="auto"/>
        <w:rPr>
          <w:sz w:val="20"/>
          <w:szCs w:val="20"/>
          <w:color w:val="auto"/>
        </w:rPr>
      </w:pPr>
      <w:r>
        <w:rPr>
          <w:rFonts w:ascii="Arial" w:cs="Arial" w:eastAsia="Arial" w:hAnsi="Arial"/>
          <w:sz w:val="17"/>
          <w:szCs w:val="17"/>
          <w:color w:val="auto"/>
        </w:rPr>
        <w:t>employment is terminated by the Company without cause or he resigns for good reason (each as defined in the Second Amended Goldstein Employment Agreement), Mr. Goldstein would be entitled to receive his base salary and the 6% bonus for the remainder of the term. In addition, in the event of Mr. Goldstein’s death, his estate would be entitled to receive his base salary and accrued bonus through the date of death. Further, in the event that Mr. Goldstein’s employment is terminated by the Company without cause or he resigns for good reason, or, in the event of the termination of Mr. Goldstein’s employment due to disability or death, Mr. Goldstein’s granted but unvested restricted stock awards will vest. Mr. Goldstein would be entitled, under certain circumstances, to a payment equal to 3.82 times his then annual salary and his accrued 6% bonus in the event of the termination of his employment within eighteen months following a change of control of the Company.</w:t>
      </w:r>
    </w:p>
    <w:p>
      <w:pPr>
        <w:spacing w:after="0" w:line="1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the Second Amended Goldstein Employment Agreement, in January 2020, Mr. Goldstein received a grant of 157,431 shares of restricted stock under the terms of the Company’s 2014 Plan determined by dividing $1,250,000 by the fair market value of the Company’s Common Stock on the date of grant. This 2020 grant vested with respect to one-third of the award on each of the first and second anniversaries of the grant date and will vest with respect to one-sixth of the award on each of December 29, 2023 and December 30, 2024 based on the continued provision of services through such dates. Also pursuant to the Second Amended Goldstein Employment Agreement, Mr. Goldstein received a grant, under the terms of the 2014 Plan, during January 2021, of 230,769 shares of restricted stock determined by dividing $1,500,000 by the fair market value of the Company’s Common Stock on the date of grant. This 2021 grant vested with respect to one-half of the award on the first anniversary of the grant date and will vest with respect to one-fourth of the award on each of December 29, 2023 and December 30, 2024 based on the continued provision of services through such dates. Further, pursuant to the Second Amended Goldstein Employment Agreement, Mr. Goldstein received in 2020, 2021, and 2022 a grant, under the terms of the 2014 Plan of a number of shares of restricted stock determined by dividing $136,500 by the fair market value of the Company’s Common Stock on the date of grant. In January 2020, Mr. Goldstein was granted 17,191 shares of restricted stock pursuant to this provision. This grant vested with respect to one-third of the award on each of the first and second anniversaries of the grant date and will vest with respect to one-sixth of the award on each of December 29, 2023 and December 30, 2024 based on the continued provision of services through such dates. In January 2021, Mr. Goldstein was granted 21,000 shares of restricted stock pursuant to this provision. This grant vested with respect to one-half of the award on the first anniversary of the grant date and will vest with respect to one-fourth of the award on each of December 29, 2023 and December 30, 2024 based on the continued provision of services through such dates. In January 2022, Mr. Goldstein was granted 27,300 shares of restricted stock pursuant to this provision. This grant will vest with respect to one-half of the award on each of December 29, 2023 and December 30, 2024 based on the continued provision of services through such dates. Pursuant to the 2014 Plan, Mr. Goldstein’s unvested restricted stock awards will vest in the event of a change in control of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January 1, 2023</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27, 2022, the Company and Mr. Goldstein entered into a third amended and restated employment agreement which takes effect as of January 1, 2023, and expires on December 31, 2024 (the “Third Amended Goldstein Employment Agreement”).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Third Amended Goldstein Employment Agreement, Mr. Goldstein is entitled to receive an annual base salary of $500,000 and an annual bonus equal to 3% of our consolidated income from operations before taxes, exclusive of the Company’s consolidated net investment income (loss), net unrealized gains (losses) on equity securities and net realized gains (losses) on investments, up to a maximum of 1.25 times his base salary. Pursuant to the Third Amended Goldstein Employment Agreement, Mr. Goldstein would be entitled to receive, under certain circumstances, a payment equal to 1.5 times his then annual base salary and his accrued bonus in the event of the termination of his employment within eighteen months following a change of control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Meryl Golden, Chief Operating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January 1, 2021</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September 16, 2019, the Company and Meryl Golden entered into an employment agreement (the “Golden Employment Agreement”) pursuant to which Ms. Golden serves as the Company’s Chief Operating Officer. Ms. Golden also serves as KICO’s President and Chief Operating Officer. The Golden Employment Agreement became effective as of September 25, 2019 (amended on December 24, 2020) and now expires on December 31, 2022.</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Golden Employment Agreement, Ms. Golden is entitled to receive an annual salary of $500,000. The Golden Employment Agreement also provides for the grant on the effective date of a five year option for the purchase of 50,000 shares of the Company’s Common Stock pursuant to the 2014 Plan. The options granted vest in four equal installments, with the first installment vesting on the grant date, and the remaining installments vesting on the first, second, and third anniversaries of the grant date, subject to the terms of the stock option agreement between the Company and Ms. Golden. Pursuant to the Golden Employment Agreement, as amended, in each of January 2021 and January 2022, Ms. Golden was granted 30,000 shares of restricted Common Stock pursuant to the 2014 Plan. Each such grant will vest in three equal installments on each of the first, second and third anniversaries of the grant date. Pursuant to the 2014 Plan, Ms. Golden’s outstanding stock options and restricted stock awards will vest in the event of a change in control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January 1, 2023</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27, 2022, the Company and Ms. Golden entered into a second amended and restated employment agreement which takes effect as of January 1, 2023, and expires on December 31, 2024 (the “Second Amended Golden Employment Agreement”).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Pursuant to the Second Amended Golden Employment Agreement, Ms. Golden is entitled to receive an annual base salary of $500,000 and an annual bonus equal to 3% of the Company’s consolidated income from operations before taxes, exclusive of our consolidated net investment income (loss), net unrealized gains (losses) on equity securities and net realized gains (losses) on investments, up to a maximum of 1.25 times her base salary. In addition,</w:t>
      </w:r>
    </w:p>
    <w:p>
      <w:pPr>
        <w:sectPr>
          <w:pgSz w:w="11900" w:h="16838" w:orient="portrait"/>
          <w:cols w:equalWidth="0" w:num="1">
            <w:col w:w="11240"/>
          </w:cols>
          <w:pgMar w:left="320" w:top="125" w:right="339" w:bottom="0" w:gutter="0" w:footer="0" w:header="0"/>
        </w:sectPr>
      </w:pPr>
    </w:p>
    <w:bookmarkStart w:id="25" w:name="page26"/>
    <w:bookmarkEnd w:id="25"/>
    <w:p>
      <w:pPr>
        <w:jc w:val="both"/>
        <w:spacing w:after="0" w:line="290" w:lineRule="auto"/>
        <w:rPr>
          <w:sz w:val="20"/>
          <w:szCs w:val="20"/>
          <w:color w:val="auto"/>
        </w:rPr>
      </w:pPr>
      <w:r>
        <w:rPr>
          <w:rFonts w:ascii="Arial" w:cs="Arial" w:eastAsia="Arial" w:hAnsi="Arial"/>
          <w:sz w:val="16"/>
          <w:szCs w:val="16"/>
          <w:color w:val="auto"/>
        </w:rPr>
        <w:t>pursuant to the Second Amended Golden Employment Agreement, Ms. Golden is entitled to receive a grant, under the terms of the 2014 Plan, during each of January 2023 and January 2024, under certain circumstances, of a number of shares of restricted stock determined by dividing $136,500 by the fair market value of the Company’s common stock on the date of grant. The 2023 grant will vest with respect to one-half of the award on the first anniversary of the grant date and one-half of the award on December 31, 2024, based on the continued provision of services through such dates. The 2024 grant will vest on December 31, 2024, based on the continued provision of services through such date. In the event that we are precluded from making a grant in 2023 or 2024, then instead Ms. Golden shall be entitled to receive a cash bonus of $136,500 for such year. Further, pursuant to the Second Amended Golden Employment Agreement, Ms. Golden would be entitled to receive, under certain circumstances, a payment equal to 1.5 times her then annual base salary and her accrued bonus in the event of the termination of her employment within eighteen months following a change of control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outbreak of the coronavirus, also known as "COVID-19", has spread across the globe and is impacting worldwide economic activity. Conditions surrounding the coronavirus including the emergence of new strains continue to rapidly evolve and government authorities have implemented emergency measures to mitigate the spread of the virus. The outbreak and the related mitigation measures have had and will continue to have a material adverse impact on global economic conditions as well as on the Company’s business activities. Although the impact has been manageable thus far, the extent to which COVID-19 may impact the Company's business activities will depend on future developments, such as the ultimate geographic spread of the disease, the duration of the outbreak, travel restrictions, business disruptions, and the effectiveness of actions taken in the United States and other countries to contain, prevent and treat the disease. These events are highly uncertain and, as such, the Company cannot determine their financial impact at this time. No adjustments have been made to the amounts reported in these condensed consolidated financial statements as a result of this matter.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Bonus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2022 and year ended December 31, 2021 the Company did not accrue for, or pay, bonuses related to the employee bonus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401 (k) Plan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maintains a salary reduction plan under Section 401(k) of the Internal Revenue Code (the “401(k) Plan”) for its qualified employees. The Company matches 100% of each participant’s contribution up to 4% of the participant’s eligible contribution. The Company incurred approximately $74,000 of expense for the three months ended June 30, 2022 and 2021, related to the 401(k) Plan. The Company incurred approximately $136,000 and $130,000, respectively, of expense for the six months ended June 30, 2022 and 2021, related to the 401(k) Plan, which is recorded in other operating expenses on the accompanying consolidated statements of operations and comprehensive (loss)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June 18, 2018, the Company adopted the Kingstone Companies, Inc. Deferred Compensation Plan (the "Deferred Compensation Plan"). The Deferred Compensation Plan is offered to a select group (“Participants”), consisting of management and highly compensated employees as a method of recognizing and retaining such Participants. The Deferred Compensation Plan provides for eligible Participants to elect to defer up to 75% of their base compensation and up to 100% of bonuses and other compensation and to have such deferred amounts deemed to be invested in specified investment options. In addition to the Participant deferrals, the Company may choose to make matching contributions to some or all of the Participants in the Deferred Compensation Plan to the extent the Participant did not receive the maximum matching or non-elective contributions permissible under the Company’s 401(k) Plan due to limitations under the Internal Revenue Code or the 401(k) Plan. Participants may elect to receive payment of their account balances in a single cash payment or in annual installments for a period of up to ten years. The deferred compensation liability as of June 30, 2022 and December 31, 2021 amounted to $1,019,958 and $907,914, respectively, and is recorded in accounts payable, accrued expenses and other liabilities in the accompanying condensed consolidated balance sheets. The Company did not make any voluntary contributions for the six months ended June 30, 2022 and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events that occurred subsequent to June 30, 2022 through the date these condensed consolidated financial statements were issued for matters that required disclosure or adjustment in these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July 1, 2022, the Company entered into new excess of loss and catastrophe reinsurance treaties (see Note 6 – Property and Casualty Insurance Activity - “Reinsurance”).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Kroll Bond Rating Agency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22, 2022, KICO’s Kroll Bond Rating Agency (“KBRA”) financial strength rating was reduced from “A-“ to “BBB+” and the Company’s KBRA issuer rating and the long-term credit rating of the Company’s $30.0 million 5.5% senior unsecured notes due in 2022 were reduced from “BBB” to “BB+”. The outlook of the credit ratings has been revised from stable to negative. Subsequently, at the request of the Company, KBRA withdrew all ratings for KICO and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 Best</w:t>
      </w:r>
    </w:p>
    <w:p>
      <w:pPr>
        <w:sectPr>
          <w:pgSz w:w="11900" w:h="16838" w:orient="portrait"/>
          <w:cols w:equalWidth="0" w:num="1">
            <w:col w:w="11240"/>
          </w:cols>
          <w:pgMar w:left="320" w:top="125" w:right="339" w:bottom="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On July 28, 2022, KICO’s A.M. Best financial strength rating was downgraded from B+ (Good) to B (Fair) and its long-term issuer credit rating (“Long-Term ICR”) was downgraded from “bbb-” (Good) to “bb” (Fair). Concurrently, A.M. Best also downgraded the Company’s Long-Term ICR from “bb-” (Fair) to “b-” (Marginal). Also downgraded was the A. M. Best long-term issue credit rating on the Company’s $30.0 million 5.50% senior unsecured notes due 2022 from “bb-” (Fair) to “ccc+” (Weak). The outlook of the credit ratings were revised from stable to negative. Concurrently, A.M. Best’s public rating for the Company was withdrawn.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Non-binding Indication of Interest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5, 2022, Griffin Highline Capital LLC (“Griffin Highline”) filed Amendment No. 3 to Schedule 13D with the SEC which indicates that, following substantial completion of Griffin Highline’s due diligence and after discussions with the management of the Company, Griffin Highline submitted a final non-binding indication of interest to the Company’s Board of Directors proposing a transaction whereby an entity formed by Griffin Highline would acquire all of the outstanding equity of the Company. Following delivery of the non-binding proposal, the Company agreed to extend the period of exclusivity with Griffin Highline under its previously executed exclusivity agreement for a limited time period to further pursue the proposal.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11, 2022, the Company announced that its Board of Directors approved a quarterly dividend of $0.04 per share payable in cash on September 15, 2022 to stockholders of record as of the close of business on August 31, 2022 (see Note 8 – Stockholders’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Home Loan Bank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10, 2022, KICO transferred and pledged ten FNMA bonds to the FHLBNY. As of August 8, 2022 the book value of these bonds is $15,144,568 and their fair value is $13,567,331. KICO will have a credit facility with respect to the transferred bonds and the maximum advance KICO will be able to receive is approximately $12,000,000.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MANAGEMENT’S DISCUSSION AND ANALYSIS OF FINANCIAL CONDITION AND RESULTS OF OPERATIONS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offer property and casualty insurance products to individuals through our wholly owned subsidiary, Kingstone Insurance Company (“KICO”). KICO’s insureds are located primarily in downstate New York, consisting of New York City, Long Island and Westchester County, although we are actively writing business in New Jersey, Rhode Island, Connecticut and Massachusetts. We are licensed in the States of New York, New Jersey, Rhode Island, Connecticut, Massachusetts, Pennsylvania, Maine, and New Hampshire. For the three months and six months ended June 30, 2022, respectively, 79.8% and 80.2% of KICO’s direct written premiums came from the New York policies.</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through our subsidiary, Cosi Agency, Inc. (“Cosi”), a multi-state licensed general agency, we access alternative distribution channels. Cosi receives commission revenue from KICO for the policies it places with others and pays commissions to these agencies. Cosi retains the profit between the commission revenue received and the commission expense paid (“Net Cosi Revenue”). Commission expense is reduced by Net Cosi Revenue and Cosi-related operating expenses are included in other operating expenses. Cosi-related operating expenses are not included in our stand-alone insurance underwriting business and, accordingly, Cosi’s expenses are not included in the calculation of our combined ratio as described below.</w:t>
      </w:r>
    </w:p>
    <w:p>
      <w:pPr>
        <w:spacing w:after="0" w:line="16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 and may also generate net realized and unrealized investment gains and losses on future investments.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Other operating expenses include our corporate expenses as a holding company and operating expenses of Cosi. These corporate expenses include legal and auditing fees, executive employment costs, and other costs directly associated with being a public company. Cosi operating expenses primarily include employment, occupancy and consulting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lines include the following: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Personal lines: </w:t>
      </w:r>
      <w:r>
        <w:rPr>
          <w:rFonts w:ascii="Arial" w:cs="Arial" w:eastAsia="Arial" w:hAnsi="Arial"/>
          <w:sz w:val="18"/>
          <w:szCs w:val="18"/>
          <w:color w:val="auto"/>
        </w:rPr>
        <w:t>Our largest line of business is personal lines, consisting of homeowners, dwelling fire, cooperative/condominium, renters,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umbrella policies.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Commercial liability: </w:t>
      </w:r>
      <w:r>
        <w:rPr>
          <w:rFonts w:ascii="Arial" w:cs="Arial" w:eastAsia="Arial" w:hAnsi="Arial"/>
          <w:sz w:val="17"/>
          <w:szCs w:val="17"/>
          <w:color w:val="auto"/>
        </w:rPr>
        <w:t>Through July 2019, we offered businessowners policies, which consist primarily of small business retail, service, and office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ectPr>
          <w:pgSz w:w="11900" w:h="16838" w:orient="portrait"/>
          <w:cols w:equalWidth="0" w:num="1">
            <w:col w:w="11240"/>
          </w:cols>
          <w:pgMar w:left="320" w:top="341" w:right="339" w:bottom="119" w:gutter="0" w:footer="0" w:header="0"/>
        </w:sectPr>
      </w:pPr>
    </w:p>
    <w:bookmarkStart w:id="27" w:name="page28"/>
    <w:bookmarkEnd w:id="27"/>
    <w:p>
      <w:pPr>
        <w:jc w:val="both"/>
        <w:ind w:firstLine="648"/>
        <w:spacing w:after="0" w:line="296" w:lineRule="auto"/>
        <w:rPr>
          <w:sz w:val="20"/>
          <w:szCs w:val="20"/>
          <w:color w:val="auto"/>
        </w:rPr>
      </w:pPr>
      <w:r>
        <w:rPr>
          <w:rFonts w:ascii="Arial" w:cs="Arial" w:eastAsia="Arial" w:hAnsi="Arial"/>
          <w:sz w:val="16"/>
          <w:szCs w:val="16"/>
          <w:color w:val="auto"/>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June 30, 2022 and December 31, 2021, there were no commercial liability policies in-force. As of June 30, 2022, these expired policies represent approximately 18.6% of loss and LAE reserves net of reinsurance recoverables. See discussion below under “Additional Financial Information”.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Livery physical damage: </w:t>
      </w:r>
      <w:r>
        <w:rPr>
          <w:rFonts w:ascii="Arial" w:cs="Arial" w:eastAsia="Arial" w:hAnsi="Arial"/>
          <w:sz w:val="18"/>
          <w:szCs w:val="18"/>
          <w:color w:val="auto"/>
        </w:rPr>
        <w:t>We write for-hire vehicle physical damage only policies for livery and car service vehicles and taxicabs. These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insure only the physical damage portion of insurance for such vehicles, with no liability coverage included.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We write canine legal liability policies and have a small participation in mandatory state joint underwriting associations.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utilize the following key measures in analyzing the results of our insurance underwriting business: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Net loss ratio: </w:t>
      </w:r>
      <w:r>
        <w:rPr>
          <w:rFonts w:ascii="Arial" w:cs="Arial" w:eastAsia="Arial" w:hAnsi="Arial"/>
          <w:sz w:val="18"/>
          <w:szCs w:val="18"/>
          <w:color w:val="auto"/>
        </w:rPr>
        <w:t>The net loss ratio is a measure of the underwriting profitability of an insurance company’s business. Expressed as a percentage,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the ratio of net losses and LAE incurred to net premiums earned.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administering its 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Net combined ratio: </w:t>
      </w:r>
      <w:r>
        <w:rPr>
          <w:rFonts w:ascii="Arial" w:cs="Arial" w:eastAsia="Arial" w:hAnsi="Arial"/>
          <w:sz w:val="18"/>
          <w:szCs w:val="18"/>
          <w:color w:val="auto"/>
        </w:rPr>
        <w:t>The net combined ratio is a measure of an insurance company’s overall underwriting profit. This is the sum of the net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net underwriting expense ratios. If the net combined ratio is at or above 100 percent, an insurance company cannot be profitable without investment income, and may not be profitable if investment income is insufficient.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Underwriting income: </w:t>
      </w:r>
      <w:r>
        <w:rPr>
          <w:rFonts w:ascii="Arial" w:cs="Arial" w:eastAsia="Arial" w:hAnsi="Arial"/>
          <w:sz w:val="18"/>
          <w:szCs w:val="18"/>
          <w:color w:val="auto"/>
        </w:rPr>
        <w:t>Underwriting income is net pre-tax income attributable to our insurance underwriting business before investment activity.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condensed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and the current economic environment, and other factors, in forming its estimates and judgments of certain amounts included in the condensed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 See the Critical Accounting Estimates section within Item 7 “Management’s Discussion and Analysis of Financial Condition and Results of Operations” of our Annual Report on Form 10-K for the year ended December 31, 2021 for further information.</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the most critical accounting policies relate to the reporting of reserves for loss and LAE, including losses that have occurred but have not been reported prior to the reporting date, amounts recoverable from third party reinsurers, deferred income taxes, the impairment of investment securities, and the valuation of stock-based compensation. See Note 2 to the consolidated financial statements in our Annual Report on Form 10-K for the year ended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Non-binding Indication of Interest</w:t>
      </w:r>
    </w:p>
    <w:p>
      <w:pPr>
        <w:spacing w:after="0" w:line="229" w:lineRule="exact"/>
        <w:rPr>
          <w:sz w:val="20"/>
          <w:szCs w:val="20"/>
          <w:color w:val="auto"/>
        </w:rPr>
      </w:pPr>
    </w:p>
    <w:p>
      <w:pPr>
        <w:jc w:val="both"/>
        <w:ind w:firstLine="706"/>
        <w:spacing w:after="0" w:line="253" w:lineRule="auto"/>
        <w:rPr>
          <w:sz w:val="20"/>
          <w:szCs w:val="20"/>
          <w:color w:val="auto"/>
        </w:rPr>
      </w:pPr>
      <w:r>
        <w:rPr>
          <w:rFonts w:ascii="Arial" w:cs="Arial" w:eastAsia="Arial" w:hAnsi="Arial"/>
          <w:sz w:val="18"/>
          <w:szCs w:val="18"/>
          <w:color w:val="auto"/>
        </w:rPr>
        <w:t>On May 4, 2022, our Board of Directors received a preliminary non-binding indication of interest from Griffin Highline Capital LLC (“Griffin Highline”) with regard to an acquisition of all of the outstanding equity of our company. On August 5, 2022, Griffin Highline filed Amendment No. 3 to Schedule 13D with the SEC which indicates that, following substantial completion of Griffin Highline’s due diligence and after discussions with management of our company, Griffin Highline submitted a final non-binding indication of interest to our Board of Directors proposing a transaction whereby an entity formed by Griffin Highline would acquire all of the outstanding equity of our company. Following delivery of the non-binding proposal, we agreed to extend the period of exclusivity with Griffin Highline under its previously executed exclusivity agreement for a limited time period to further pursue the proposal. TigerRisk Capital Markets &amp; Advisory has been engaged to advise our Board of Directors regarding strategic transactions. Our Board of Directors will carefully review the proposal to determine the course of action that it believes is in the best interest of our company and all of our stockholders. Due to the uncertainty as to the consummation of a transaction of the type sought by Griffin Highline, nothing in this Quarterly Report, including the financial statements comprising a portion hereof, include any adjustments to reflect the possible effects of the consummation of such a transaction.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ectPr>
          <w:pgSz w:w="11900" w:h="16838" w:orient="portrait"/>
          <w:cols w:equalWidth="0" w:num="1">
            <w:col w:w="11240"/>
          </w:cols>
          <w:pgMar w:left="320" w:top="125" w:right="339" w:bottom="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Six Months Ended June 30, 2022 Compared to Six Months Ended June 30, 2021</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the changes in the results of our operations (in thousands) for the periods indicated: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b w:val="1"/>
                <w:bCs w:val="1"/>
                <w:color w:val="auto"/>
                <w:w w:val="88"/>
              </w:rPr>
              <w:t>Six months ended 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8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 written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82,745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10,017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00"/>
              <w:spacing w:after="0"/>
              <w:rPr>
                <w:sz w:val="20"/>
                <w:szCs w:val="20"/>
                <w:color w:val="auto"/>
              </w:rPr>
            </w:pPr>
            <w:r>
              <w:rPr>
                <w:rFonts w:ascii="Arial" w:cs="Arial" w:eastAsia="Arial" w:hAnsi="Arial"/>
                <w:sz w:val="18"/>
                <w:szCs w:val="18"/>
                <w:color w:val="auto"/>
              </w:rPr>
              <w:t>Assumed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10,017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color w:val="auto"/>
              </w:rPr>
              <w:t>Ceded written premiums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Ceded to quota share treaties (1)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21,949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21,713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9,200.4%</w:t>
            </w:r>
          </w:p>
        </w:tc>
        <w:tc>
          <w:tcPr>
            <w:tcW w:w="0" w:type="dxa"/>
            <w:vAlign w:val="bottom"/>
          </w:tcPr>
          <w:p>
            <w:pPr>
              <w:spacing w:after="0"/>
              <w:rPr>
                <w:sz w:val="1"/>
                <w:szCs w:val="1"/>
                <w:color w:val="auto"/>
              </w:rPr>
            </w:pPr>
          </w:p>
        </w:tc>
      </w:tr>
      <w:tr>
        <w:trPr>
          <w:trHeight w:val="216"/>
        </w:trPr>
        <w:tc>
          <w:tcPr>
            <w:tcW w:w="5940" w:type="dxa"/>
            <w:vAlign w:val="bottom"/>
            <w:gridSpan w:val="2"/>
          </w:tcPr>
          <w:p>
            <w:pPr>
              <w:ind w:left="540"/>
              <w:spacing w:after="0"/>
              <w:rPr>
                <w:sz w:val="20"/>
                <w:szCs w:val="20"/>
                <w:color w:val="auto"/>
              </w:rPr>
            </w:pPr>
            <w:r>
              <w:rPr>
                <w:rFonts w:ascii="Arial" w:cs="Arial" w:eastAsia="Arial" w:hAnsi="Arial"/>
                <w:sz w:val="18"/>
                <w:szCs w:val="18"/>
                <w:color w:val="auto"/>
              </w:rPr>
              <w:t>Ceded to excess of loss treaties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1,743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1,059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Ceded to catastrophe treaties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Total ceded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23,187</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Net written premiums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54,944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68,114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(13,170)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Change in unearned premiums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80"/>
              <w:spacing w:after="0"/>
              <w:rPr>
                <w:sz w:val="20"/>
                <w:szCs w:val="20"/>
                <w:color w:val="auto"/>
              </w:rPr>
            </w:pPr>
            <w:r>
              <w:rPr>
                <w:rFonts w:ascii="Arial" w:cs="Arial" w:eastAsia="Arial" w:hAnsi="Arial"/>
                <w:sz w:val="18"/>
                <w:szCs w:val="18"/>
                <w:color w:val="auto"/>
              </w:rPr>
              <w:t>Ceded to quota share treaties (1)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 in net unearned premiums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Premiums earned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80"/>
              <w:spacing w:after="0"/>
              <w:rPr>
                <w:sz w:val="20"/>
                <w:szCs w:val="20"/>
                <w:color w:val="auto"/>
              </w:rPr>
            </w:pPr>
            <w:r>
              <w:rPr>
                <w:rFonts w:ascii="Arial" w:cs="Arial" w:eastAsia="Arial" w:hAnsi="Arial"/>
                <w:sz w:val="18"/>
                <w:szCs w:val="18"/>
                <w:color w:val="auto"/>
              </w:rPr>
              <w:t>Direct and assumed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92,369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84,681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7,688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Ceded to reinsurance treaties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(37,794)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(23,139)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Net premiums earned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(15,451)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Ceding commission revenue (1)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9,397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9,352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Net (losses) gains on investments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(8,916)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5,276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(14,192)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38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57,530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79,104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(21,575)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9"/>
        </w:trPr>
        <w:tc>
          <w:tcPr>
            <w:tcW w:w="59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8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52,832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44,096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8,736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Losses from catastrophes (2)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6,534.0%</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380"/>
              <w:spacing w:after="0"/>
              <w:rPr>
                <w:sz w:val="20"/>
                <w:szCs w:val="20"/>
                <w:color w:val="auto"/>
              </w:rPr>
            </w:pPr>
            <w:r>
              <w:rPr>
                <w:rFonts w:ascii="Arial" w:cs="Arial" w:eastAsia="Arial" w:hAnsi="Arial"/>
                <w:sz w:val="18"/>
                <w:szCs w:val="18"/>
                <w:color w:val="auto"/>
              </w:rPr>
              <w:t>Total direct and assumed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15,662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80"/>
              <w:spacing w:after="0"/>
              <w:rPr>
                <w:sz w:val="20"/>
                <w:szCs w:val="20"/>
                <w:color w:val="auto"/>
              </w:rPr>
            </w:pPr>
            <w:r>
              <w:rPr>
                <w:rFonts w:ascii="Arial" w:cs="Arial" w:eastAsia="Arial" w:hAnsi="Arial"/>
                <w:sz w:val="18"/>
                <w:szCs w:val="18"/>
                <w:color w:val="auto"/>
              </w:rPr>
              <w:t>Ceded 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14,367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13,485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1,528.9%</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80"/>
              <w:spacing w:after="0"/>
              <w:rPr>
                <w:sz w:val="20"/>
                <w:szCs w:val="20"/>
                <w:color w:val="auto"/>
              </w:rPr>
            </w:pPr>
            <w:r>
              <w:rPr>
                <w:rFonts w:ascii="Arial" w:cs="Arial" w:eastAsia="Arial" w:hAnsi="Arial"/>
                <w:sz w:val="18"/>
                <w:szCs w:val="18"/>
                <w:color w:val="auto"/>
              </w:rPr>
              <w:t>Losses from catastrophes (2)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3,901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ceded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1,971.2%</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8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38,465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43,214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(4,749)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Losses from catastrophes (2)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2,854.7%</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380"/>
              <w:spacing w:after="0"/>
              <w:rPr>
                <w:sz w:val="20"/>
                <w:szCs w:val="20"/>
                <w:color w:val="auto"/>
              </w:rPr>
            </w:pPr>
            <w:r>
              <w:rPr>
                <w:rFonts w:ascii="Arial" w:cs="Arial" w:eastAsia="Arial" w:hAnsi="Arial"/>
                <w:sz w:val="18"/>
                <w:szCs w:val="18"/>
                <w:color w:val="auto"/>
              </w:rPr>
              <w:t>Net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43,320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(1,723)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Commission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16,832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16,509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13,441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13,160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1,548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2,286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(738)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income before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(18,448)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(19,704)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(3,871)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(4,115)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(15,589)</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(Columns in the table above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December 31, 2021, we entered into a 30% personal lines quota share treaty.</w:t>
      </w:r>
    </w:p>
    <w:p>
      <w:pPr>
        <w:spacing w:after="0" w:line="23" w:lineRule="exact"/>
        <w:rPr>
          <w:rFonts w:ascii="Arial" w:cs="Arial" w:eastAsia="Arial" w:hAnsi="Arial"/>
          <w:sz w:val="18"/>
          <w:szCs w:val="18"/>
          <w:color w:val="auto"/>
        </w:rPr>
      </w:pPr>
    </w:p>
    <w:p>
      <w:pPr>
        <w:ind w:left="460" w:right="120" w:hanging="452"/>
        <w:spacing w:after="0" w:line="30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six months ended June 30, 2022 and 2021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151"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17145</wp:posOffset>
            </wp:positionV>
            <wp:extent cx="32918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29" w:name="page30"/>
    <w:bookmarkEnd w:id="29"/>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Percentage</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Percent</w:t>
            </w:r>
          </w:p>
        </w:tc>
      </w:tr>
      <w:tr>
        <w:trPr>
          <w:trHeight w:val="234"/>
        </w:trPr>
        <w:tc>
          <w:tcPr>
            <w:tcW w:w="5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Point Change</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426"/>
        </w:trPr>
        <w:tc>
          <w:tcPr>
            <w:tcW w:w="5840" w:type="dxa"/>
            <w:vAlign w:val="bottom"/>
          </w:tcPr>
          <w:p>
            <w:pPr>
              <w:ind w:left="60"/>
              <w:spacing w:after="0"/>
              <w:rPr>
                <w:sz w:val="20"/>
                <w:szCs w:val="20"/>
                <w:color w:val="auto"/>
              </w:rPr>
            </w:pPr>
            <w:r>
              <w:rPr>
                <w:rFonts w:ascii="Arial" w:cs="Arial" w:eastAsia="Arial" w:hAnsi="Arial"/>
                <w:sz w:val="18"/>
                <w:szCs w:val="18"/>
                <w:b w:val="1"/>
                <w:bCs w:val="1"/>
                <w:color w:val="auto"/>
              </w:rPr>
              <w:t>Key ratios:</w:t>
            </w: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ratio</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Net underwriting expense ratio</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37.4%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5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combined ratio</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Direct written premiums during the six months ended June 30, 2022 (“Six Months 2022”) were $92,762,000 compared to $82,745,000 during the six months ended June 30, 2021 (“Six Months 2021”). The increase of $10,017,000, or 12.1%, was primarily due an increase in premiums from our personal lines business. Direct written premiums from our personal lines business for Six Months 2022 were $86,955,000, an increase of $8,347,000, or 10.6%, from $78,608,000 in Six Months 2021. The increase in premiums from our personal lines business was primarily due to rate increases, and, to a lesser extent, an increase in policies in force. Direct written premiums from our livery physical damage business for Six Months 2022 were $5,727,000, an increase of $1,704,000, or 42.3%, from $4,023,000 in Six Months 2021. The increase in livery physical damage direct written premiums was due to the declining effect of the COVID-19 pandemic in our geographic area.</w:t>
      </w:r>
    </w:p>
    <w:p>
      <w:pPr>
        <w:spacing w:after="0" w:line="177" w:lineRule="exact"/>
        <w:rPr>
          <w:sz w:val="20"/>
          <w:szCs w:val="20"/>
          <w:color w:val="auto"/>
        </w:rPr>
      </w:pPr>
    </w:p>
    <w:p>
      <w:pPr>
        <w:jc w:val="both"/>
        <w:ind w:firstLine="936"/>
        <w:spacing w:after="0" w:line="279" w:lineRule="auto"/>
        <w:rPr>
          <w:sz w:val="20"/>
          <w:szCs w:val="20"/>
          <w:color w:val="auto"/>
        </w:rPr>
      </w:pPr>
      <w:r>
        <w:rPr>
          <w:rFonts w:ascii="Arial" w:cs="Arial" w:eastAsia="Arial" w:hAnsi="Arial"/>
          <w:sz w:val="17"/>
          <w:szCs w:val="17"/>
          <w:color w:val="auto"/>
        </w:rPr>
        <w:t>Beginning in 2017 we started writing homeowners policies in New Jersey. Through 2019 we expanded to Rhode Island, Massachusetts and Connecticut. We refer to our New York business as our “Core” business and the business outside of New York as our “Expansion” business. Direct written premiums from our Core business were $74,382,000 in Six Months 2022 compared to $66,531,000 in Six Months 2021. Direct written premiums from our Expansion business were $18,380,000 in Six Months 2022 compared to $16,214,000 in Six Months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Effective December 31, 2021, we entered into a quota share reinsurance treaty for our personal lines business covering the period from December 31, 2021 through January 1, 2023 (“2021/2023 Treaty”). There was no quota share reinsurance treaty in effect in Six Months 2021. Net written premiums decreased $13,170,000, or 19.3%, to $54,944,000 in Six Months 2022 from $68,114,000 in Six Months 2021. Net written premiums include direct and assumed premiums, less the amount of written premiums ceded under our reinsurance treaties (quota share, excess of loss, and catastrophe). In Six Months 2022, our premiums ceded under quota share treaties increased by $23,187,000 in comparison to ceded premiums in Six Months 2021 (see table above). Our personal lines business was subject to the 2021/2023 Treaty in Six Months 2022, compared to no personal lines quota share treaty in Six Months 2021.</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 of loss reinsurance treaties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increase in written premiums will increase the premiums ceded under our excess of loss treaties. In Six Months 2022, our ceded excess of loss reinsurance premiums increased by $684,000 over the comparable ceded premiums for Six Months 2021. The increase was due to an increase in subject premiums and additional coverage obtained. Effective January 1, 2022, we entered into an underlying excess of loss reinsurance treaty covering the period from January 1, 2022 through January 1, 2023. The treaty provides 50% reinsurance coverage for losses of $400,000 in excess of $600,000. Losses from named storms are excluded from the treaty.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Catastrophe reinsurance treaties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Six Months 2022, our premiums ceded under catastrophe treaties increased by $790,000 over the comparable ceded premiums in Six Months 2021. Effective July 1, 2020, and continuing through June 30, 2021, our ceded catastrophe premiums were paid based on the total insured value of our risks calculated as of August 31, 2020. Effective July 1, 2021, and continuing through June 30, 2022, our ceded catastrophe premiums were paid based on the total insured value of our risks as of August 31, 2021. Effective July 1, 2022, and continuing through June 30, 2023, our ceded catastrophe premiums will be paid based on the total insured value of our risks as of August 31, 2022.</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premiums earned decreased $15,451,000, or 22.1%, to $54,575,000 in Six Months 2022 from $70,026,000 in Six Months 2021. The decrease was due to the inception of the 2021/2023 Treaty on December 31, 2021. The decrease resulting from the 2021/2023 Treaty in Six Months 2022 was partially offset by an increase in direct written premium.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Provisional ceding commissions earned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9,139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9,620.0%</w:t>
            </w:r>
          </w:p>
        </w:tc>
        <w:tc>
          <w:tcPr>
            <w:tcW w:w="0" w:type="dxa"/>
            <w:vAlign w:val="bottom"/>
          </w:tcPr>
          <w:p>
            <w:pPr>
              <w:spacing w:after="0"/>
              <w:rPr>
                <w:sz w:val="1"/>
                <w:szCs w:val="1"/>
                <w:color w:val="auto"/>
              </w:rPr>
            </w:pPr>
          </w:p>
        </w:tc>
      </w:tr>
      <w:tr>
        <w:trPr>
          <w:trHeight w:val="216"/>
        </w:trPr>
        <w:tc>
          <w:tcPr>
            <w:tcW w:w="6000" w:type="dxa"/>
            <w:vAlign w:val="bottom"/>
            <w:gridSpan w:val="2"/>
          </w:tcPr>
          <w:p>
            <w:pPr>
              <w:ind w:left="60"/>
              <w:spacing w:after="0"/>
              <w:rPr>
                <w:sz w:val="20"/>
                <w:szCs w:val="20"/>
                <w:color w:val="auto"/>
              </w:rPr>
            </w:pPr>
            <w:r>
              <w:rPr>
                <w:rFonts w:ascii="Arial" w:cs="Arial" w:eastAsia="Arial" w:hAnsi="Arial"/>
                <w:sz w:val="18"/>
                <w:szCs w:val="18"/>
                <w:color w:val="auto"/>
              </w:rPr>
              <w:t>Contingent ceding commissions earned</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Total ceding commission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9,397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9,352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20,782.2%</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Ceding commission revenue was $9,397,000 in Six Months 2022 compared to $45,000 in Six Months 2021. The increase of $9,352,000 was due to an increase in both provisional ceding commissions earned and contingent ceding commissions earned. See below for a discussion of provisional ceding</w:t>
      </w:r>
    </w:p>
    <w:p>
      <w:pPr>
        <w:sectPr>
          <w:pgSz w:w="11900" w:h="16983" w:orient="portrait"/>
          <w:cols w:equalWidth="0" w:num="1">
            <w:col w:w="11240"/>
          </w:cols>
          <w:pgMar w:left="320" w:top="121" w:right="339" w:bottom="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commissions earned and contingent ceding commissions earned.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Six Months 2022 we earned provisional ceding commissions from personal lines earned premiums ceded under the 2021/2023 Treaty which was effective as of December 31, 2021. There was no personal lines quota share in effect in Six Months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structure of the 2021/2023 Treaty calls for a fixed provisional ceding commission with no opportunity to earn additional contingent ceding commissions. Under our prior years’ quota share treaties, we received a contingent ceding commission based on a sliding scale in relation to the losses incurred under our quota share treaties. The lower the ceded loss ratio, the more contingent commission we received.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investment income was $1,993,000 in Six Months 2022 compared to $3,461,000 in Six Months 2021, a decrease of $1,468,000, or 42.4%. The decrease in investment income is attributable to a $766,000 reversal of prior years’ estimated accrued interest income stemming from an error in third party investment reporting. The decline of investment income is also attributable to the disposal of income bearing equity securities. The average yield on invested assets was 3.51% as of June 30, 2022 compared to 3.45% as of June 30, 2021.</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and invested assets were $193,784,000 as of June 30, 2022 compared to $234,100,000 as of June 30, 2021. The $40,316,000 decrease in cash and invested assets was primarily attributable to cash paid to reinsurers at the inception of the 2021/2023 Treaty, losses paid in connection with catastrophe losses incurred in 2021 and 2022 and unrealized losses on our investment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Gains and Losses on Investments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losses on investments were $8,916,000 in Six Months 2022 compared to net gains of $5,276,000 in Six Months 2021. Unrealized losses on our equity securities and other investments in Six Months 2022 were $8,705,000, compared to net gains of $3,431,000 in Six Months 2021. Realized losses on sales of investments were $210,900 in Six Months 2022 compared to realized gains of $1,844,000 in Six Months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income was $480,000 in Six Months 2022 compared to $296,000 in Six Months 2021, an increase of $184,000, or 62.2%.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loss and LAE was $41,597,000 for Six Months 2022 compared to $43,320,000 for Six Months 2021. The net loss ratio was 76.2% in Six Months 2022 compared to 61.9% in Six Months 2021, an increase of 14.3 percentage points.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The following graph summarizes the changes in the components of net loss ratio for the periods indicated, along with the comparable components excluding commercial lines business:</w:t>
      </w:r>
    </w:p>
    <w:p>
      <w:pPr>
        <w:sectPr>
          <w:pgSz w:w="11900" w:h="16838" w:orient="portrait"/>
          <w:cols w:equalWidth="0" w:num="1">
            <w:col w:w="11240"/>
          </w:cols>
          <w:pgMar w:left="320" w:top="125" w:right="3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1142365</wp:posOffset>
            </wp:positionH>
            <wp:positionV relativeFrom="page">
              <wp:posOffset>88900</wp:posOffset>
            </wp:positionV>
            <wp:extent cx="5271770" cy="3943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527177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60"/>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ind w:right="500" w:firstLine="652"/>
        <w:spacing w:after="0" w:line="277" w:lineRule="auto"/>
        <w:rPr>
          <w:sz w:val="20"/>
          <w:szCs w:val="20"/>
          <w:color w:val="auto"/>
        </w:rPr>
      </w:pPr>
      <w:r>
        <w:rPr>
          <w:rFonts w:ascii="Arial" w:cs="Arial" w:eastAsia="Arial" w:hAnsi="Arial"/>
          <w:sz w:val="18"/>
          <w:szCs w:val="18"/>
          <w:color w:val="auto"/>
        </w:rPr>
        <w:t>For Six Months 2022, the loss ratio was higher than Six Months 2021 due to water damage property claims, which were primarily driven by winter-related water damage claims resulting from freezing temperature.</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estimated net catastrophe losses were $3,132,000 for Six Months 2022, which contributed 5.7 points to the loss ratio. This is mostly driven by two winter events in the first quarter. There were also five minor wind catastrophe events during Six Months 2022, but the impact was not significant. As a comparison, catastrophe events had a loss ratio impact of only 0.2 point for Six Months 2021 due to a very mild winter season last year.</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Prior years in total have unfavorable development of $270,000 for Six Months 2022, driven by large fire losses, which occurred in 2021. This contributed 0.5 point to the loss ratio.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table below under “Additional Financial Information” summarizing net loss ratios by line of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Commission expense was $16,832,000 in Six Months 2022 or 18.2% of direct earned premiums. Commission expense was $16,509,000 in Six Months 2021 or 19.5% of direct earned premiums. The increase of $323,000 was primarily due to an increase in direct earned premiums of $7,688,000 to $92,369,000 offset in part by a reduction of commission rate on our Select Products and the reduction to contingent commissions, which the producers now earn only if KICO has an operating profit.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Other Underwriting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underwriting expenses were $13,441,000, or 14.6% of direct earned premiums, in Six Months 2022 compared to $13,160,000, or 15.5% of direct earned premiums, in Six Months 2021. The increase of $281,000, or 2.1%, was primarily due to increases in expenses related to our growth in direct earned premiums, and the reduction as a percentage of direct earned premiums is due to our continuing initiative to reduce expenses with the use of technology.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largest single component of other underwriting expenses is salaries and employment costs, with costs of $5,066,000 in Six Months 2022 compared to $5,079,000 in Six Months 2021. The modest decrease of $13,000, or 0.3%, compares favorably with the 12.1% increase in direct written premiums.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net underwriting expense ratio in Six Months 2022 was 37.4% compared to 41.9% in Six Months 2021. The following table shows the individual components of our net underwriting expense ratio for the periods indicated:</w:t>
      </w:r>
    </w:p>
    <w:p>
      <w:pPr>
        <w:sectPr>
          <w:pgSz w:w="11900" w:h="16909" w:orient="portrait"/>
          <w:cols w:equalWidth="0" w:num="1">
            <w:col w:w="11240"/>
          </w:cols>
          <w:pgMar w:left="320" w:top="1440" w:right="339" w:bottom="0" w:gutter="0" w:footer="0" w:header="0"/>
        </w:sectPr>
      </w:pPr>
    </w:p>
    <w:p>
      <w:pPr>
        <w:spacing w:after="0" w:line="166" w:lineRule="exact"/>
        <w:rPr>
          <w:sz w:val="20"/>
          <w:szCs w:val="20"/>
          <w:color w:val="auto"/>
        </w:rPr>
      </w:pPr>
    </w:p>
    <w:p>
      <w:pPr>
        <w:jc w:val="center"/>
        <w:ind w:left="7640"/>
        <w:spacing w:after="0"/>
        <w:rPr>
          <w:sz w:val="20"/>
          <w:szCs w:val="20"/>
          <w:color w:val="auto"/>
        </w:rPr>
      </w:pPr>
      <w:r>
        <w:rPr>
          <w:rFonts w:ascii="Arial" w:cs="Arial" w:eastAsia="Arial" w:hAnsi="Arial"/>
          <w:sz w:val="15"/>
          <w:szCs w:val="15"/>
          <w:b w:val="1"/>
          <w:bCs w:val="1"/>
          <w:color w:val="auto"/>
        </w:rPr>
        <w:t>Six months ended</w:t>
      </w:r>
    </w:p>
    <w:p>
      <w:pPr>
        <w:spacing w:after="0" w:line="62" w:lineRule="exact"/>
        <w:rPr>
          <w:sz w:val="20"/>
          <w:szCs w:val="20"/>
          <w:color w:val="auto"/>
        </w:rPr>
      </w:pPr>
    </w:p>
    <w:p>
      <w:pPr>
        <w:jc w:val="center"/>
        <w:ind w:left="76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Percentage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Point Changes</w:t>
      </w:r>
    </w:p>
    <w:p>
      <w:pPr>
        <w:sectPr>
          <w:pgSz w:w="11900" w:h="16909" w:orient="portrait"/>
          <w:cols w:equalWidth="0" w:num="2">
            <w:col w:w="9200" w:space="720"/>
            <w:col w:w="1320"/>
          </w:cols>
          <w:pgMar w:left="320" w:top="1440" w:right="339" w:bottom="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29"/>
        </w:trPr>
        <w:tc>
          <w:tcPr>
            <w:tcW w:w="3480" w:type="dxa"/>
            <w:vAlign w:val="bottom"/>
            <w:vMerge w:val="restart"/>
          </w:tcPr>
          <w:p>
            <w:pPr>
              <w:ind w:left="60"/>
              <w:spacing w:after="0"/>
              <w:rPr>
                <w:sz w:val="20"/>
                <w:szCs w:val="20"/>
                <w:color w:val="auto"/>
              </w:rPr>
            </w:pPr>
            <w:r>
              <w:rPr>
                <w:rFonts w:ascii="Arial" w:cs="Arial" w:eastAsia="Arial" w:hAnsi="Arial"/>
                <w:sz w:val="18"/>
                <w:szCs w:val="18"/>
                <w:color w:val="auto"/>
              </w:rPr>
              <w:t>Other underwriting expenses</w:t>
            </w:r>
          </w:p>
        </w:tc>
        <w:tc>
          <w:tcPr>
            <w:tcW w:w="3680" w:type="dxa"/>
            <w:vAlign w:val="bottom"/>
          </w:tcPr>
          <w:p>
            <w:pPr>
              <w:spacing w:after="0"/>
              <w:rPr>
                <w:sz w:val="19"/>
                <w:szCs w:val="19"/>
                <w:color w:val="auto"/>
              </w:rPr>
            </w:pPr>
          </w:p>
        </w:tc>
        <w:tc>
          <w:tcPr>
            <w:tcW w:w="11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80" w:type="dxa"/>
            <w:vAlign w:val="bottom"/>
            <w:vMerge w:val="continue"/>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Employment costs</w:t>
            </w:r>
          </w:p>
        </w:tc>
        <w:tc>
          <w:tcPr>
            <w:tcW w:w="5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480" w:type="dxa"/>
            <w:vAlign w:val="bottom"/>
          </w:tcPr>
          <w:p>
            <w:pPr>
              <w:ind w:left="420"/>
              <w:spacing w:after="0"/>
              <w:rPr>
                <w:sz w:val="20"/>
                <w:szCs w:val="20"/>
                <w:color w:val="auto"/>
              </w:rPr>
            </w:pPr>
            <w:r>
              <w:rPr>
                <w:rFonts w:ascii="Arial" w:cs="Arial" w:eastAsia="Arial" w:hAnsi="Arial"/>
                <w:sz w:val="18"/>
                <w:szCs w:val="18"/>
                <w:color w:val="auto"/>
                <w:w w:val="96"/>
              </w:rPr>
              <w:t>Underwriting fees (inspections/surveys)</w:t>
            </w:r>
          </w:p>
        </w:tc>
        <w:tc>
          <w:tcPr>
            <w:tcW w:w="5060" w:type="dxa"/>
            <w:vAlign w:val="bottom"/>
            <w:gridSpan w:val="4"/>
          </w:tcPr>
          <w:p>
            <w:pPr>
              <w:jc w:val="right"/>
              <w:ind w:right="2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 expenses</w:t>
            </w:r>
          </w:p>
        </w:tc>
        <w:tc>
          <w:tcPr>
            <w:tcW w:w="50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80" w:type="dxa"/>
            <w:vAlign w:val="bottom"/>
          </w:tcPr>
          <w:p>
            <w:pPr>
              <w:ind w:left="420"/>
              <w:spacing w:after="0"/>
              <w:rPr>
                <w:sz w:val="20"/>
                <w:szCs w:val="20"/>
                <w:color w:val="auto"/>
              </w:rPr>
            </w:pPr>
            <w:r>
              <w:rPr>
                <w:rFonts w:ascii="Arial" w:cs="Arial" w:eastAsia="Arial" w:hAnsi="Arial"/>
                <w:sz w:val="18"/>
                <w:szCs w:val="18"/>
                <w:color w:val="auto"/>
              </w:rPr>
              <w:t>Profesional fees</w:t>
            </w:r>
          </w:p>
        </w:tc>
        <w:tc>
          <w:tcPr>
            <w:tcW w:w="5060" w:type="dxa"/>
            <w:vAlign w:val="bottom"/>
            <w:gridSpan w:val="4"/>
          </w:tcPr>
          <w:p>
            <w:pPr>
              <w:jc w:val="right"/>
              <w:ind w:right="2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expenses</w:t>
            </w:r>
          </w:p>
        </w:tc>
        <w:tc>
          <w:tcPr>
            <w:tcW w:w="36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48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tcPr>
          <w:p>
            <w:pPr>
              <w:ind w:left="220"/>
              <w:spacing w:after="0"/>
              <w:rPr>
                <w:sz w:val="20"/>
                <w:szCs w:val="20"/>
                <w:color w:val="auto"/>
              </w:rPr>
            </w:pPr>
            <w:r>
              <w:rPr>
                <w:rFonts w:ascii="Arial" w:cs="Arial" w:eastAsia="Arial" w:hAnsi="Arial"/>
                <w:sz w:val="18"/>
                <w:szCs w:val="18"/>
                <w:color w:val="auto"/>
              </w:rPr>
              <w:t>Total other underwriting expenses</w:t>
            </w:r>
          </w:p>
        </w:tc>
        <w:tc>
          <w:tcPr>
            <w:tcW w:w="3680" w:type="dxa"/>
            <w:vAlign w:val="bottom"/>
          </w:tcPr>
          <w:p>
            <w:pPr>
              <w:spacing w:after="0"/>
              <w:rPr>
                <w:sz w:val="18"/>
                <w:szCs w:val="18"/>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18.7</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60"/>
              <w:spacing w:after="0"/>
              <w:rPr>
                <w:sz w:val="20"/>
                <w:szCs w:val="20"/>
                <w:color w:val="auto"/>
              </w:rPr>
            </w:pPr>
            <w:r>
              <w:rPr>
                <w:rFonts w:ascii="Arial" w:cs="Arial" w:eastAsia="Arial" w:hAnsi="Arial"/>
                <w:sz w:val="18"/>
                <w:szCs w:val="18"/>
                <w:color w:val="auto"/>
              </w:rPr>
              <w:t>Commission expense</w:t>
            </w:r>
          </w:p>
        </w:tc>
        <w:tc>
          <w:tcPr>
            <w:tcW w:w="5060" w:type="dxa"/>
            <w:vAlign w:val="bottom"/>
            <w:gridSpan w:val="4"/>
          </w:tcPr>
          <w:p>
            <w:pPr>
              <w:jc w:val="right"/>
              <w:ind w:right="26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23.6</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9"/>
        </w:trPr>
        <w:tc>
          <w:tcPr>
            <w:tcW w:w="34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60"/>
              <w:spacing w:after="0"/>
              <w:rPr>
                <w:sz w:val="20"/>
                <w:szCs w:val="20"/>
                <w:color w:val="auto"/>
              </w:rPr>
            </w:pPr>
            <w:r>
              <w:rPr>
                <w:rFonts w:ascii="Arial" w:cs="Arial" w:eastAsia="Arial" w:hAnsi="Arial"/>
                <w:sz w:val="18"/>
                <w:szCs w:val="18"/>
                <w:color w:val="auto"/>
              </w:rPr>
              <w:t>Ceding commission revenue</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Provisional</w:t>
            </w:r>
          </w:p>
        </w:tc>
        <w:tc>
          <w:tcPr>
            <w:tcW w:w="5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3480" w:type="dxa"/>
            <w:vAlign w:val="bottom"/>
          </w:tcPr>
          <w:p>
            <w:pPr>
              <w:ind w:left="420"/>
              <w:spacing w:after="0"/>
              <w:rPr>
                <w:sz w:val="20"/>
                <w:szCs w:val="20"/>
                <w:color w:val="auto"/>
              </w:rPr>
            </w:pPr>
            <w:r>
              <w:rPr>
                <w:rFonts w:ascii="Arial" w:cs="Arial" w:eastAsia="Arial" w:hAnsi="Arial"/>
                <w:sz w:val="18"/>
                <w:szCs w:val="18"/>
                <w:color w:val="auto"/>
              </w:rPr>
              <w:t>Contingent</w:t>
            </w:r>
          </w:p>
        </w:tc>
        <w:tc>
          <w:tcPr>
            <w:tcW w:w="368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ceding commission revenue</w:t>
            </w:r>
          </w:p>
        </w:tc>
        <w:tc>
          <w:tcPr>
            <w:tcW w:w="36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income</w:t>
            </w:r>
          </w:p>
        </w:tc>
        <w:tc>
          <w:tcPr>
            <w:tcW w:w="5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underwriting expense ratio</w:t>
            </w:r>
          </w:p>
        </w:tc>
        <w:tc>
          <w:tcPr>
            <w:tcW w:w="368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80" w:type="dxa"/>
            <w:vAlign w:val="bottom"/>
          </w:tcPr>
          <w:p>
            <w:pPr>
              <w:spacing w:after="0"/>
              <w:rPr>
                <w:sz w:val="24"/>
                <w:szCs w:val="24"/>
                <w:color w:val="auto"/>
              </w:rPr>
            </w:pPr>
          </w:p>
        </w:tc>
        <w:tc>
          <w:tcPr>
            <w:tcW w:w="5160" w:type="dxa"/>
            <w:vAlign w:val="bottom"/>
            <w:gridSpan w:val="5"/>
          </w:tcPr>
          <w:p>
            <w:pPr>
              <w:ind w:left="200"/>
              <w:spacing w:after="0"/>
              <w:rPr>
                <w:sz w:val="20"/>
                <w:szCs w:val="20"/>
                <w:color w:val="auto"/>
              </w:rPr>
            </w:pPr>
            <w:r>
              <w:rPr>
                <w:rFonts w:ascii="Arial" w:cs="Arial" w:eastAsia="Arial" w:hAnsi="Arial"/>
                <w:sz w:val="18"/>
                <w:szCs w:val="18"/>
                <w:i w:val="1"/>
                <w:iCs w:val="1"/>
                <w:color w:val="auto"/>
              </w:rPr>
              <w:t>(Components may not sum to totals due to rounding)</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overall 17.2 percentage point increase in the benefit from ceding commissions in Six Months 2022 was driven by the increase in provisional ceding commission revenue due to the inception of the 2021/2023 Treaty on December 31, 2021. The components of our net underwriting expense ratio related to other underwriting expenses and commissions increased due to a higher percentage of our direct earned premiums in Six Months 2022 being ceded due to the inception of the 2021/2023 Treaty.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operating expenses, related to the expenses of our holding company and Cosi, were $1,548,000 for Six Months 2022 compared to $2,286,000 for Six Months 2021. The following table shows a breakdown of the significant components of other operating expenses for the periods indicated:</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w w:val="98"/>
              </w:rPr>
              <w:t>Six months ended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6"/>
              </w:rPr>
              <w:t>Change</w:t>
            </w: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Employement costs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(692)</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Bonuses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compensation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Professional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Insurance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4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tcPr>
          <w:p>
            <w:pPr>
              <w:ind w:left="220"/>
              <w:spacing w:after="0"/>
              <w:rPr>
                <w:sz w:val="20"/>
                <w:szCs w:val="20"/>
                <w:color w:val="auto"/>
              </w:rPr>
            </w:pPr>
            <w:r>
              <w:rPr>
                <w:rFonts w:ascii="Arial" w:cs="Arial" w:eastAsia="Arial" w:hAnsi="Arial"/>
                <w:sz w:val="18"/>
                <w:szCs w:val="18"/>
                <w:color w:val="auto"/>
              </w:rPr>
              <w:t>Total other operating expenses</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2,286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(738)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decrease in Six Months 2022 of $738,000, or 32.3%, as compared to Six Months 2021 was primarily due to a decrease in employment costs. The decrease in employment costs was due to staff reductions and fluctuations in deferred compensation liability related to changes in the underlying invested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Depreciation and amortization was $1,647,000 in Six Months 2022 compared to $1,660,000 in Six Months 2021. The decrease of $13,000, or 0.8%, in depreciation and amortization was primarily due to assets previously put into service that are currently being utilized and being fully depreciated. In the last quarter of 2021, due to the extended useful life of assets related to our system platforms, Management determined that such systems, currently put into service, should be depreciated over five years reflecting their expected useful lives as compared to the previous three years.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was $913,000 for both Six Months 2022 and Six Months 2021. We incurred interest expense in connection with our $30.0 million issuance of long-term debt in December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 Expense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Income tax benefit in Six Months 2022 was $3,871,000, which resulted in an effective tax benefit rate of 21.0%. Income tax expense in Six Months 2021 was $244,000, which resulted in an effective tax rate of 19.4%. Loss before taxes was $18,448,000 in Six Months 2022 compared to income</w:t>
      </w:r>
    </w:p>
    <w:p>
      <w:pPr>
        <w:sectPr>
          <w:pgSz w:w="11900" w:h="16838" w:orient="portrait"/>
          <w:cols w:equalWidth="0" w:num="1">
            <w:col w:w="11240"/>
          </w:cols>
          <w:pgMar w:left="320" w:top="120" w:right="339" w:bottom="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t>before taxes of $1,256,000 in Six Months 2021. The difference in effective tax rate is due to the effect of permanent differences in Six Months 2022 compared to Six Months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Income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Net loss was $14,577,000 in Six Months 2022 compared to net income of $1,012,000 in Six Months 2021. The increase in net loss of $15,589,000 was due to the circumstances described above.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2022 Compared to Three Months Ended June 30, 2021</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the changes in the results of our operations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8"/>
                <w:szCs w:val="18"/>
                <w:b w:val="1"/>
                <w:bCs w:val="1"/>
                <w:color w:val="auto"/>
                <w:w w:val="91"/>
              </w:rPr>
              <w:t>Three months ended 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8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 written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49,778</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44,616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00"/>
              <w:spacing w:after="0"/>
              <w:rPr>
                <w:sz w:val="20"/>
                <w:szCs w:val="20"/>
                <w:color w:val="auto"/>
              </w:rPr>
            </w:pPr>
            <w:r>
              <w:rPr>
                <w:rFonts w:ascii="Arial" w:cs="Arial" w:eastAsia="Arial" w:hAnsi="Arial"/>
                <w:sz w:val="18"/>
                <w:szCs w:val="18"/>
                <w:color w:val="auto"/>
              </w:rPr>
              <w:t>Assumed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color w:val="auto"/>
              </w:rPr>
              <w:t>Ceded written premiums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Ceded to quota share treaties (1)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11,705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11,943.9%</w:t>
            </w:r>
          </w:p>
        </w:tc>
        <w:tc>
          <w:tcPr>
            <w:tcW w:w="0" w:type="dxa"/>
            <w:vAlign w:val="bottom"/>
          </w:tcPr>
          <w:p>
            <w:pPr>
              <w:spacing w:after="0"/>
              <w:rPr>
                <w:sz w:val="1"/>
                <w:szCs w:val="1"/>
                <w:color w:val="auto"/>
              </w:rPr>
            </w:pPr>
          </w:p>
        </w:tc>
      </w:tr>
      <w:tr>
        <w:trPr>
          <w:trHeight w:val="216"/>
        </w:trPr>
        <w:tc>
          <w:tcPr>
            <w:tcW w:w="5940" w:type="dxa"/>
            <w:vAlign w:val="bottom"/>
            <w:gridSpan w:val="2"/>
          </w:tcPr>
          <w:p>
            <w:pPr>
              <w:ind w:left="540"/>
              <w:spacing w:after="0"/>
              <w:rPr>
                <w:sz w:val="20"/>
                <w:szCs w:val="20"/>
                <w:color w:val="auto"/>
              </w:rPr>
            </w:pPr>
            <w:r>
              <w:rPr>
                <w:rFonts w:ascii="Arial" w:cs="Arial" w:eastAsia="Arial" w:hAnsi="Arial"/>
                <w:sz w:val="18"/>
                <w:szCs w:val="18"/>
                <w:color w:val="auto"/>
              </w:rPr>
              <w:t>Ceded to excess of loss treaties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886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Ceded to catastrophe treaties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Total ceded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12,450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Net written premiums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30,026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37,314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(7,288)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Change in unearned premiums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80"/>
              <w:spacing w:after="0"/>
              <w:rPr>
                <w:sz w:val="20"/>
                <w:szCs w:val="20"/>
                <w:color w:val="auto"/>
              </w:rPr>
            </w:pPr>
            <w:r>
              <w:rPr>
                <w:rFonts w:ascii="Arial" w:cs="Arial" w:eastAsia="Arial" w:hAnsi="Arial"/>
                <w:sz w:val="18"/>
                <w:szCs w:val="18"/>
                <w:color w:val="auto"/>
              </w:rPr>
              <w:t>Ceded to quota share treaties (1)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 in net unearned premiums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Premiums earned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80"/>
              <w:spacing w:after="0"/>
              <w:rPr>
                <w:sz w:val="20"/>
                <w:szCs w:val="20"/>
                <w:color w:val="auto"/>
              </w:rPr>
            </w:pPr>
            <w:r>
              <w:rPr>
                <w:rFonts w:ascii="Arial" w:cs="Arial" w:eastAsia="Arial" w:hAnsi="Arial"/>
                <w:sz w:val="18"/>
                <w:szCs w:val="18"/>
                <w:color w:val="auto"/>
              </w:rPr>
              <w:t>Direct and assumed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46,993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42,762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4,231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Ceded to reinsurance treaties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(19,091)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(11,765)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Net premiums earned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(7,534)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Ceding commission revenue (1)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4,716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4,670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Net (losses) gains on investments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(4,517)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2,315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(6,832)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38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28,979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(10,621)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8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26,323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20,940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5,383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Losses from catastrophes (2)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380"/>
              <w:spacing w:after="0"/>
              <w:rPr>
                <w:sz w:val="20"/>
                <w:szCs w:val="20"/>
                <w:color w:val="auto"/>
              </w:rPr>
            </w:pPr>
            <w:r>
              <w:rPr>
                <w:rFonts w:ascii="Arial" w:cs="Arial" w:eastAsia="Arial" w:hAnsi="Arial"/>
                <w:sz w:val="18"/>
                <w:szCs w:val="18"/>
                <w:color w:val="auto"/>
              </w:rPr>
              <w:t>Total direct and assumed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5,701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80"/>
              <w:spacing w:after="0"/>
              <w:rPr>
                <w:sz w:val="20"/>
                <w:szCs w:val="20"/>
                <w:color w:val="auto"/>
              </w:rPr>
            </w:pPr>
            <w:r>
              <w:rPr>
                <w:rFonts w:ascii="Arial" w:cs="Arial" w:eastAsia="Arial" w:hAnsi="Arial"/>
                <w:sz w:val="18"/>
                <w:szCs w:val="18"/>
                <w:color w:val="auto"/>
              </w:rPr>
              <w:t>Ceded 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13,313.8%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80"/>
              <w:spacing w:after="0"/>
              <w:rPr>
                <w:sz w:val="20"/>
                <w:szCs w:val="20"/>
                <w:color w:val="auto"/>
              </w:rPr>
            </w:pPr>
            <w:r>
              <w:rPr>
                <w:rFonts w:ascii="Arial" w:cs="Arial" w:eastAsia="Arial" w:hAnsi="Arial"/>
                <w:sz w:val="18"/>
                <w:szCs w:val="18"/>
                <w:color w:val="auto"/>
              </w:rPr>
              <w:t>Losses from catastrophes (2)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ceded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13,456.9%</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80"/>
              <w:spacing w:after="0"/>
              <w:rPr>
                <w:sz w:val="20"/>
                <w:szCs w:val="20"/>
                <w:color w:val="auto"/>
              </w:rPr>
            </w:pPr>
            <w:r>
              <w:rPr>
                <w:rFonts w:ascii="Arial" w:cs="Arial" w:eastAsia="Arial" w:hAnsi="Arial"/>
                <w:sz w:val="18"/>
                <w:szCs w:val="18"/>
                <w:color w:val="auto"/>
                <w:w w:val="96"/>
              </w:rPr>
              <w:t>Loss and loss adjustment expenses excluding the effect of catastrophes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18,544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20,882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(2,338)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Losses from catastrophes (2)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380"/>
              <w:spacing w:after="0"/>
              <w:rPr>
                <w:sz w:val="20"/>
                <w:szCs w:val="20"/>
                <w:color w:val="auto"/>
              </w:rPr>
            </w:pPr>
            <w:r>
              <w:rPr>
                <w:rFonts w:ascii="Arial" w:cs="Arial" w:eastAsia="Arial" w:hAnsi="Arial"/>
                <w:sz w:val="18"/>
                <w:szCs w:val="18"/>
                <w:color w:val="auto"/>
              </w:rPr>
              <w:t>Net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18,656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Commission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8,481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8,286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933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income before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(6,782)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(1,403)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(1,715)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(5,380)</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(Columns in the table above may not sum to totals due to rounding)</w:t>
      </w:r>
    </w:p>
    <w:p>
      <w:pPr>
        <w:sectPr>
          <w:pgSz w:w="11900" w:h="16838" w:orient="portrait"/>
          <w:cols w:equalWidth="0" w:num="1">
            <w:col w:w="11240"/>
          </w:cols>
          <w:pgMar w:left="320" w:top="125" w:right="339" w:bottom="0" w:gutter="0" w:footer="0" w:header="0"/>
          <w:type w:val="continuous"/>
        </w:sectPr>
      </w:pPr>
    </w:p>
    <w:bookmarkStart w:id="34" w:name="page35"/>
    <w:bookmarkEnd w:id="34"/>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December 31, 2021, we entered into a 30% personal lines quota share treaty.</w:t>
      </w:r>
    </w:p>
    <w:p>
      <w:pPr>
        <w:spacing w:after="0" w:line="23" w:lineRule="exact"/>
        <w:rPr>
          <w:rFonts w:ascii="Arial" w:cs="Arial" w:eastAsia="Arial" w:hAnsi="Arial"/>
          <w:sz w:val="18"/>
          <w:szCs w:val="18"/>
          <w:color w:val="auto"/>
        </w:rPr>
      </w:pPr>
    </w:p>
    <w:p>
      <w:pPr>
        <w:ind w:left="460" w:right="280" w:hanging="452"/>
        <w:spacing w:after="0" w:line="25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three months ended June 30, 2022 and 2021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w w:val="88"/>
              </w:rPr>
              <w:t>Three months ended June 30,</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4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86"/>
              </w:rPr>
              <w:t>Percentage</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4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Point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Percent</w:t>
            </w:r>
          </w:p>
        </w:tc>
      </w:tr>
      <w:tr>
        <w:trPr>
          <w:trHeight w:val="234"/>
        </w:trPr>
        <w:tc>
          <w:tcPr>
            <w:tcW w:w="484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Change</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Change</w:t>
            </w:r>
          </w:p>
        </w:tc>
      </w:tr>
      <w:tr>
        <w:trPr>
          <w:trHeight w:val="426"/>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Key ratios:</w:t>
            </w: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ratio</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r>
      <w:tr>
        <w:trPr>
          <w:trHeight w:val="216"/>
        </w:trPr>
        <w:tc>
          <w:tcPr>
            <w:tcW w:w="4840" w:type="dxa"/>
            <w:vAlign w:val="bottom"/>
          </w:tcPr>
          <w:p>
            <w:pPr>
              <w:ind w:left="200"/>
              <w:spacing w:after="0"/>
              <w:rPr>
                <w:sz w:val="20"/>
                <w:szCs w:val="20"/>
                <w:color w:val="auto"/>
              </w:rPr>
            </w:pPr>
            <w:r>
              <w:rPr>
                <w:rFonts w:ascii="Arial" w:cs="Arial" w:eastAsia="Arial" w:hAnsi="Arial"/>
                <w:sz w:val="18"/>
                <w:szCs w:val="18"/>
                <w:color w:val="auto"/>
              </w:rPr>
              <w:t>Net underwriting expense ratio</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41.8%</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48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combined ratio</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0"/>
        </w:trPr>
        <w:tc>
          <w:tcPr>
            <w:tcW w:w="48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Direct written premiums during the three months ended June 30, 2022 (“Three Months 2022”) were $49,778,000 compared to $44,616,000 during the three months ended June 30, 2021 (“Three Months 2021”). The increase of $5,162,000, or 11.6%, was primarily due an increase in premiums from our personal lines business. Direct written premiums from our personal lines business for Three Months 2022 were $46,792,000, an increase of $4,342,000, or 10.2%, from $42,450,000 in Three Months 2021. The increase in premiums from our personal lines business was primarily due to rate increases, and, to a lesser extent, an increase in policies in force. Direct written premiums from our livery physical damage business for Three Months 2022 were $2,954,000, an increase of $835,000, or 39.4%, from $2,119,000 in Three Months 2021. The increase in livery physical damage direct written premiums was due to the declining effect of the COVID-19 pandemic in our geographic area.</w:t>
      </w:r>
    </w:p>
    <w:p>
      <w:pPr>
        <w:spacing w:after="0" w:line="177" w:lineRule="exact"/>
        <w:rPr>
          <w:sz w:val="20"/>
          <w:szCs w:val="20"/>
          <w:color w:val="auto"/>
        </w:rPr>
      </w:pPr>
    </w:p>
    <w:p>
      <w:pPr>
        <w:jc w:val="both"/>
        <w:ind w:firstLine="936"/>
        <w:spacing w:after="0" w:line="279" w:lineRule="auto"/>
        <w:rPr>
          <w:sz w:val="20"/>
          <w:szCs w:val="20"/>
          <w:color w:val="auto"/>
        </w:rPr>
      </w:pPr>
      <w:r>
        <w:rPr>
          <w:rFonts w:ascii="Arial" w:cs="Arial" w:eastAsia="Arial" w:hAnsi="Arial"/>
          <w:sz w:val="17"/>
          <w:szCs w:val="17"/>
          <w:color w:val="auto"/>
        </w:rPr>
        <w:t>Beginning in 2017 we started writing homeowners policies in New Jersey. Through 2019 we expanded to Rhode Island, Massachusetts and Connecticut. We refer to our New York business as our “Core” business and the business outside of New York as our “Expansion” business. Direct written premiums from our Core business were $39,734,000 in Three Months 2022 compared to $35,614,000 in Three Months 2021. Direct written premiums from our Expansion business were $10,044,000 in Three Months 2022 compared to $9,002,000 in Three Months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December 31, 2021, we entered into a quota share reinsurance treaty for our personal lines business covering the period from December 31, 2021 through January 1, 2023 (“2021/2023 Treaty”). There was no quota share reinsurance treaty in effect in Three Months 2021. Net written premiums decreased $7,288,000, or 19.5%, to $30,026,000 in Three Months 2022 from $37,314,000 in Three Months 2021. Net written premiums include direct and assumed premiums, less the amount of written premiums ceded under our reinsurance treaties (quota share, excess of loss, and catastrophe). In Three Months 2022, our premiums ceded under quota share treaties increased by $12,450,000 in comparison to ceded premiums in Three Months 2021 (see table above). Our personal lines business was subject to the 2021/2023 Treaty in Three Months 2022, compared to no personal lines quota share treaty in Three Months 2021.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 of loss reinsurance treaties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increase in written premiums will increase the premiums ceded under our excess of loss treaties. In Three Months 2022, our ceded excess of loss reinsurance premiums increased by $351,000 over the comparable ceded premiums for Three Months 2021. The increase was due to an increase in subject premiums and additional coverage obtained. Effective January 1, 2022, we entered into an underlying excess of loss reinsurance treaty covering the period from January 1, 2022 through January 1, 2023. The treaty provides 50% reinsurance coverage for losses of $400,000 in excess of $600,000. Losses from named storms are excluded from the treaty.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Catastrophe reinsurance treaties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Three Months 2022, our premiums ceded under catastrophe treaties increased by $394,000 over the comparable ceded premiums in Three Months 2021. Effective July 1, 2020, and continuing through June 30, 2021, our ceded catastrophe premiums were paid based on the total insured value of our risks calculated as of August 31, 2020. Effective July 1, 2021, and continuing through June 30, 2022, our ceded catastrophe premiums were paid based on the total insured value of our risks as of August 31, 2021. Effective July 1, 2022, and continuing through June 30, 2023, our ceded catastrophe premiums will be paid based on the total insured value of our risks as of August 31, 2022.</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premiums earned decreased $7,534,000, or 21.3%, to $27,902,000 in Three Months 2022 from $35,436,000 in Three Months 2021. The decrease was due to the inception of the 2021/2023 Treaty on December 31, 2021. The decrease resulting from the 2021/2023 Treaty in Three Months 2022 was partially offset by an increase in direct written premium.</w:t>
      </w:r>
    </w:p>
    <w:p>
      <w:pPr>
        <w:sectPr>
          <w:pgSz w:w="11900" w:h="16855" w:orient="portrait"/>
          <w:cols w:equalWidth="0" w:num="1">
            <w:col w:w="11240"/>
          </w:cols>
          <w:pgMar w:left="320" w:top="557" w:right="339" w:bottom="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b w:val="1"/>
                <w:bCs w:val="1"/>
                <w:color w:val="auto"/>
                <w:w w:val="92"/>
              </w:rPr>
              <w:t>Three months ended June 30,</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w:t>
            </w:r>
          </w:p>
        </w:tc>
        <w:tc>
          <w:tcPr>
            <w:tcW w:w="940" w:type="dxa"/>
            <w:vAlign w:val="bottom"/>
          </w:tcPr>
          <w:p>
            <w:pPr>
              <w:ind w:left="20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Contingent ceding commissions earned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ceding commission revenue</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4,716</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4,670</w:t>
            </w: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10,152.2%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Ceding commission revenue was $4,716,000 in Three Months 2022 compared to $46,000 in Three Months 2021. The increase of $4,670,000 was due to an increase in both provisional ceding commissions earned and contingent ceding commissions earned. See below for a discussion of provisional ceding commissions earned and contingent ceding commissions earned.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Three Months 2022 we earned provisional ceding commissions from personal lines earned premiums ceded under the 2021/2023 Treaty which was effective as of December 31, 2021. There was no personal lines quota share in effect in Three Months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structure of the 2021/2023 Treaty calls for a fixed provisional ceding commission with no opportunity to earn additional contingent ceding commissions. Under our prior years’ quota share treaties, we received a contingent ceding commission based on a sliding scale in relation to the losses incurred under our quota share treaties. The lower the ceded loss ratio, the more contingent commission we received.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investment income was $634,000 in Three Months 2022 compared to $1,678,000 in Three Months 2021, a decrease of $1,044,000, or 62.2%. The decrease in investment income is attributable to a $766,000 reversal of prior years’ estimated accrued interest income stemming from an error in third party investment reporting. The decline of investment income is also attributable to the disposal of income bearing equity securities. The average yield on invested assets was 3.51% as of June 30, 2022 compared to 3.45% as of June 30, 2021.</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and invested assets were $193,784,000 as of June 30, 2022 compared to $234,100,000 as of June 30, 2021 The $40,316,000 decrease in cash and invested assets was primarily attributable to cash paid to reinsurers at the inception of the 2021/2023 Treaty, losses paid in connection with catastrophe losses incurred in 2021 and 2022, and unrealized losses on our investment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Gains and Losses on Investments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losses on investments were $4,517,000 in Three Months 2022 compared to net gains of $2,315,000 in Three Months 2021. Unrealized losses on our equity securities and other investments in Three Months 2022 were $4,229,000, compared to net gains of $1,598,000 in Three Months 2021. Realized losses on sales of investments were $289,000 in Three Months 2022 compared to realized gains of $717,000 in Three Months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Other income was $245,000 in Three Months 2022 compared to $125,000 in Three Months 2021, an increase of $120,000, or 96.0%.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and LAE was $18,656,000 for Three Months 2022 compared to $20,759,000 for Three Months 2021. The net loss ratio was 66.9% in Three Months 2022 compared to 58.6% in Three Months 2021, an increase of 8.3 percentage points.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graph summarizes the changes in the components of net loss ratio for the periods indicated, along with the comparable components excluding commercial lines business:</w:t>
      </w:r>
    </w:p>
    <w:p>
      <w:pPr>
        <w:sectPr>
          <w:pgSz w:w="11900" w:h="16838" w:orient="portrait"/>
          <w:cols w:equalWidth="0" w:num="1">
            <w:col w:w="11240"/>
          </w:cols>
          <w:pgMar w:left="320" w:top="341" w:right="3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1142365</wp:posOffset>
            </wp:positionH>
            <wp:positionV relativeFrom="page">
              <wp:posOffset>88900</wp:posOffset>
            </wp:positionV>
            <wp:extent cx="5271770" cy="3943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27177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640"/>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Three Months 2022, the loss ratio was higher than Three Months 2021 mainly due to water damage property claims and fire severity. Although the water experience for Three Months 2022 was a bit worse than historical average, it is reasonably within the historical range. For fire losses, there were more large loss activities during Three Months 2022, but the year-to-date experience has been in line with the past.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impact of catastrophe losses was low for Three Months 2022. There were only three minor wind events classified as a catastrophe for Three Months 2022. There was also favorable development on catastrophe losses occurring for Three Months 2022. The estimated total net catastrophe losses were $112,000, which contributed 0.4 point to the loss ratio. This compares to a -0.3 point impact from catastrophe events from the corresponding period from prior year, which also had minimal catastrophe activities.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Prior years in total have unfavorable development of $274,000 for Three Months 2022, driven by an emergence of large fire losses, which occurred in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table below under “Additional Financial Information” summarizing net loss ratios by line of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225"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Commission expense increased $195,000 to $8,481,000, or 18.0% of direct earned premiums, in Three Months 2022. The increase was due to an increase in direct earned premiums of $4,231,000 to $46,993,000, offset in part by a reduction in the commission rate on our Select Products and the reduction in contingent commissions, which producers now earn only if KICO has an underwriting profit.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underwriting expenses were $6,625,000, or 14.1% of direct earned premiums, in Three Months 2022 compared to $6,693,000, or 15.7% of direct earned premiums, in Three Months 2021. The decrease of $68,000, or 1.0%, was primarily due to decreases in professional fees and state insurance department fees, partially offset by increases in expenses related to our growth in direct earned premiums and our continuing initiative to reduce expenses with the use of technology.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largest single component of other underwriting expenses is salaries and employment costs, with costs of $2,518,000 in Three Months 2022 compared to $2,540,000 in Three Months 2021. The modest decrease of $22,000, or 0.9%, compares favorably with the 11.6% increase in direct written premiums.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net underwriting expense ratio in Three Months 2022 was 36.4% compared to 41.8% in Three Months 2021. The following table shows the individual components of our net underwriting expense ratio for the periods indicated:</w:t>
      </w:r>
    </w:p>
    <w:p>
      <w:pPr>
        <w:spacing w:after="0" w:line="166" w:lineRule="exact"/>
        <w:rPr>
          <w:sz w:val="20"/>
          <w:szCs w:val="20"/>
          <w:color w:val="auto"/>
        </w:rPr>
      </w:pPr>
    </w:p>
    <w:tbl>
      <w:tblPr>
        <w:tblLayout w:type="fixed"/>
        <w:tblInd w:w="7380" w:type="dxa"/>
        <w:tblCellMar>
          <w:top w:w="0" w:type="dxa"/>
          <w:left w:w="0" w:type="dxa"/>
          <w:bottom w:w="0" w:type="dxa"/>
          <w:right w:w="0" w:type="dxa"/>
        </w:tblCellMar>
      </w:tblPr>
      <w:tr>
        <w:trPr>
          <w:trHeight w:val="216"/>
        </w:trPr>
        <w:tc>
          <w:tcPr>
            <w:tcW w:w="2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3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w w:val="98"/>
              </w:rPr>
              <w:t>Percentage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600" w:type="dxa"/>
            <w:vAlign w:val="bottom"/>
            <w:vMerge w:val="restart"/>
          </w:tcPr>
          <w:p>
            <w:pPr>
              <w:jc w:val="center"/>
              <w:ind w:right="710"/>
              <w:spacing w:after="0"/>
              <w:rPr>
                <w:sz w:val="20"/>
                <w:szCs w:val="20"/>
                <w:color w:val="auto"/>
              </w:rPr>
            </w:pPr>
            <w:r>
              <w:rPr>
                <w:rFonts w:ascii="Arial" w:cs="Arial" w:eastAsia="Arial" w:hAnsi="Arial"/>
                <w:sz w:val="18"/>
                <w:szCs w:val="18"/>
                <w:b w:val="1"/>
                <w:bCs w:val="1"/>
                <w:color w:val="auto"/>
                <w:w w:val="88"/>
              </w:rPr>
              <w:t>June 30,</w:t>
            </w:r>
          </w:p>
        </w:tc>
        <w:tc>
          <w:tcPr>
            <w:tcW w:w="3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Point</w:t>
            </w: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108"/>
        </w:trPr>
        <w:tc>
          <w:tcPr>
            <w:tcW w:w="7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-8890</wp:posOffset>
            </wp:positionV>
            <wp:extent cx="15087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underwriting expenses</w:t>
      </w:r>
    </w:p>
    <w:p>
      <w:pPr>
        <w:sectPr>
          <w:pgSz w:w="11900" w:h="16838" w:orient="portrait"/>
          <w:cols w:equalWidth="0" w:num="1">
            <w:col w:w="11240"/>
          </w:cols>
          <w:pgMar w:left="320" w:top="1440" w:right="339" w:bottom="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Employment costs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Underwriting fees (inspections/surveys)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 expenses</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Profesional fees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7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280" w:type="dxa"/>
            <w:vAlign w:val="bottom"/>
          </w:tcPr>
          <w:p>
            <w:pPr>
              <w:ind w:left="180"/>
              <w:spacing w:after="0"/>
              <w:rPr>
                <w:sz w:val="20"/>
                <w:szCs w:val="20"/>
                <w:color w:val="auto"/>
              </w:rPr>
            </w:pPr>
            <w:r>
              <w:rPr>
                <w:rFonts w:ascii="Arial" w:cs="Arial" w:eastAsia="Arial" w:hAnsi="Arial"/>
                <w:sz w:val="18"/>
                <w:szCs w:val="18"/>
                <w:color w:val="auto"/>
              </w:rPr>
              <w:t>Total other underwriting expenses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23.8</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18.9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09"/>
        </w:trPr>
        <w:tc>
          <w:tcPr>
            <w:tcW w:w="7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Commission expense</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30.4</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23.4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0"/>
        </w:trPr>
        <w:tc>
          <w:tcPr>
            <w:tcW w:w="7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Provisional</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Contingent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0"/>
        </w:trPr>
        <w:tc>
          <w:tcPr>
            <w:tcW w:w="7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ceding commission revenue</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r>
      <w:tr>
        <w:trPr>
          <w:trHeight w:val="209"/>
        </w:trPr>
        <w:tc>
          <w:tcPr>
            <w:tcW w:w="7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r>
      <w:tr>
        <w:trPr>
          <w:trHeight w:val="210"/>
        </w:trPr>
        <w:tc>
          <w:tcPr>
            <w:tcW w:w="7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 ratio</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r>
      <w:tr>
        <w:trPr>
          <w:trHeight w:val="20"/>
        </w:trPr>
        <w:tc>
          <w:tcPr>
            <w:tcW w:w="7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overall 16.8 percentage point increase in the benefit from ceding commissions in Three Months 2022 was driven by the increase in provisional ceding commission revenue due to the inception of the 2021/2023 Treaty on December 31, 2021. The components of our net underwriting expense ratio related to other underwriting expenses and commissions increased due to a higher percentage of our direct earned premiums in Three Months 2022 being ceded due to the inception of the 2021/2023 Treaty.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Other operating expenses, related to the expenses of our holding company and Cosi, were $666,000 for Three Months 2022 compared to $933,000 for Three Months 2021. The following table shows a breakdown of the significant components of other operating expenses for the periods indicated:</w:t>
      </w:r>
    </w:p>
    <w:p>
      <w:pPr>
        <w:spacing w:after="0" w:line="12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6"/>
              </w:rPr>
              <w:t>Change</w:t>
            </w: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Employement costs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Bonuses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compensation</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Professional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Insurance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
        </w:trPr>
        <w:tc>
          <w:tcPr>
            <w:tcW w:w="4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80" w:type="dxa"/>
            <w:vAlign w:val="bottom"/>
          </w:tcPr>
          <w:p>
            <w:pPr>
              <w:ind w:left="220"/>
              <w:spacing w:after="0"/>
              <w:rPr>
                <w:sz w:val="20"/>
                <w:szCs w:val="20"/>
                <w:color w:val="auto"/>
              </w:rPr>
            </w:pPr>
            <w:r>
              <w:rPr>
                <w:rFonts w:ascii="Arial" w:cs="Arial" w:eastAsia="Arial" w:hAnsi="Arial"/>
                <w:sz w:val="18"/>
                <w:szCs w:val="18"/>
                <w:color w:val="auto"/>
              </w:rPr>
              <w:t>Total other operating expenses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933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decrease in Three Months 2022 of $267,000, or 28.6%, as compared to Three Months 2021 was primarily due to a decrease in employment costs. The decrease in employment costs was due to staff reductions and fluctuations in deferred compensation liability related to changes in the underlying invested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Depreciation and amortization was $877,000 in Three Months 2022 compared to $837,000 in Three Months 2021. The decrease of $40,000, or 4.8%, in depreciation and amortization was primarily due to assets previously put into service that are currently being utilized and being fully depreciated. In the last quarter of 2021, due to the extended useful life of assets related to our system platforms, Management determined that such systems, currently put into service, should be depreciated over five years reflecting their expected useful lives as compared to the previous three years.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was $457,000 for both Three Months 2022 and Three Months 2021. We incurred interest expense in connection with our $30.0 million issuance of long-term debt in December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 Expense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benefit in Three Months 2022 was $1,403,000, which resulted in an effective tax benefit rate of 20.7%. Income tax expense in Three Months 2021 was $312,000, which resulted in an effective tax rate of 19.1%. Loss before taxes was $6,782,000 in Three Months 2022 compared to income before taxes of $1,635,000 in Three Months 2021. The difference in effective tax rate is due to the effect of permanent differences in Three Months 2022 compared to Three Months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Income</w:t>
      </w:r>
    </w:p>
    <w:p>
      <w:pPr>
        <w:sectPr>
          <w:pgSz w:w="11900" w:h="16838" w:orient="portrait"/>
          <w:cols w:equalWidth="0" w:num="1">
            <w:col w:w="11240"/>
          </w:cols>
          <w:pgMar w:left="320" w:top="355" w:right="339" w:bottom="0" w:gutter="0" w:footer="0" w:header="0"/>
        </w:sectPr>
      </w:pPr>
    </w:p>
    <w:bookmarkStart w:id="38" w:name="page39"/>
    <w:bookmarkEnd w:id="38"/>
    <w:p>
      <w:pPr>
        <w:jc w:val="both"/>
        <w:ind w:firstLine="648"/>
        <w:spacing w:after="0" w:line="277" w:lineRule="auto"/>
        <w:rPr>
          <w:sz w:val="20"/>
          <w:szCs w:val="20"/>
          <w:color w:val="auto"/>
        </w:rPr>
      </w:pPr>
      <w:r>
        <w:rPr>
          <w:rFonts w:ascii="Arial" w:cs="Arial" w:eastAsia="Arial" w:hAnsi="Arial"/>
          <w:sz w:val="18"/>
          <w:szCs w:val="18"/>
          <w:color w:val="auto"/>
        </w:rPr>
        <w:t>Net loss was $5,380,000 in Three Months 2022 compared to net income of $1,323,000 in Three Months 2021. The increase in net loss of $6,703,000 was due to the circumstances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4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24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Gross premiums written:</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Personal lines(3)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46,792,267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42,449,870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86,955,416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78,608,363</w:t>
            </w:r>
          </w:p>
        </w:tc>
        <w:tc>
          <w:tcPr>
            <w:tcW w:w="0" w:type="dxa"/>
            <w:vAlign w:val="bottom"/>
          </w:tcPr>
          <w:p>
            <w:pPr>
              <w:spacing w:after="0"/>
              <w:rPr>
                <w:sz w:val="1"/>
                <w:szCs w:val="1"/>
                <w:color w:val="auto"/>
              </w:rPr>
            </w:pPr>
          </w:p>
        </w:tc>
      </w:tr>
      <w:tr>
        <w:trPr>
          <w:trHeight w:val="216"/>
        </w:trPr>
        <w:tc>
          <w:tcPr>
            <w:tcW w:w="5840" w:type="dxa"/>
            <w:vAlign w:val="bottom"/>
            <w:gridSpan w:val="2"/>
          </w:tcPr>
          <w:p>
            <w:pPr>
              <w:ind w:left="60"/>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2,953,588</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2,119,436</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5,726,868</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4,023,428</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32,608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46,719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80,076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113,826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Total without commercial lines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49,778,463</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44,616,025</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92,762,360</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82,745,617</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Commercial lines (in run-off effective July 2019)(2)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Total gross premiums written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49,778,463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44,615,644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92,762,360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82,744,761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premiums written: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Personal lines(3)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27,048,585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35,149,321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49,159,250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63,979,133</w:t>
            </w:r>
          </w:p>
        </w:tc>
        <w:tc>
          <w:tcPr>
            <w:tcW w:w="0" w:type="dxa"/>
            <w:vAlign w:val="bottom"/>
          </w:tcPr>
          <w:p>
            <w:pPr>
              <w:spacing w:after="0"/>
              <w:rPr>
                <w:sz w:val="1"/>
                <w:szCs w:val="1"/>
                <w:color w:val="auto"/>
              </w:rPr>
            </w:pPr>
          </w:p>
        </w:tc>
      </w:tr>
      <w:tr>
        <w:trPr>
          <w:trHeight w:val="216"/>
        </w:trPr>
        <w:tc>
          <w:tcPr>
            <w:tcW w:w="5840" w:type="dxa"/>
            <w:vAlign w:val="bottom"/>
            <w:gridSpan w:val="2"/>
          </w:tcPr>
          <w:p>
            <w:pPr>
              <w:ind w:left="60"/>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2,953,588</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2,119,436</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5,726,868</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4,023,428</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23,607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45,903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57,850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112,184</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Total without commercial lines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30,025,780</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37,314,660</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54,943,968</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68,114,745</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Commercial lines (in run-off effective July 2019)(2)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Total net premiums written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30,025,780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37,314,279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54,943,968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68,113,889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premiums earned: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Personal lines(3)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25,178,854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33,573,620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49,339,070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66,338,707</w:t>
            </w:r>
          </w:p>
        </w:tc>
        <w:tc>
          <w:tcPr>
            <w:tcW w:w="0" w:type="dxa"/>
            <w:vAlign w:val="bottom"/>
          </w:tcPr>
          <w:p>
            <w:pPr>
              <w:spacing w:after="0"/>
              <w:rPr>
                <w:sz w:val="1"/>
                <w:szCs w:val="1"/>
                <w:color w:val="auto"/>
              </w:rPr>
            </w:pPr>
          </w:p>
        </w:tc>
      </w:tr>
      <w:tr>
        <w:trPr>
          <w:trHeight w:val="216"/>
        </w:trPr>
        <w:tc>
          <w:tcPr>
            <w:tcW w:w="5840" w:type="dxa"/>
            <w:vAlign w:val="bottom"/>
            <w:gridSpan w:val="2"/>
          </w:tcPr>
          <w:p>
            <w:pPr>
              <w:ind w:left="60"/>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2,687,273</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1,804,543</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5,161,838</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3,569,819</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35,941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58,644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74,540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117,974</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Total without commercial lines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27,902,068</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35,436,807</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54,575,448</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70,026,500</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Commercial lines (in run-off effective July 2019)(2)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Total net premiums earned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27,902,068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35,436,426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54,575,448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70,025,644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loss and loss adjustment expenses(4):</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Personal lines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16,356,939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18,638,287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36,783,580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39,394,940</w:t>
            </w:r>
          </w:p>
        </w:tc>
        <w:tc>
          <w:tcPr>
            <w:tcW w:w="0" w:type="dxa"/>
            <w:vAlign w:val="bottom"/>
          </w:tcPr>
          <w:p>
            <w:pPr>
              <w:spacing w:after="0"/>
              <w:rPr>
                <w:sz w:val="1"/>
                <w:szCs w:val="1"/>
                <w:color w:val="auto"/>
              </w:rPr>
            </w:pPr>
          </w:p>
        </w:tc>
      </w:tr>
      <w:tr>
        <w:trPr>
          <w:trHeight w:val="216"/>
        </w:trPr>
        <w:tc>
          <w:tcPr>
            <w:tcW w:w="5840" w:type="dxa"/>
            <w:vAlign w:val="bottom"/>
            <w:gridSpan w:val="2"/>
          </w:tcPr>
          <w:p>
            <w:pPr>
              <w:ind w:left="60"/>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1,180,223</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1,015,064</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2,010,792</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1,702,476</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223,472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(24,367)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253,821</w:t>
            </w:r>
          </w:p>
        </w:tc>
        <w:tc>
          <w:tcPr>
            <w:tcW w:w="0" w:type="dxa"/>
            <w:vAlign w:val="bottom"/>
          </w:tcPr>
          <w:p>
            <w:pPr>
              <w:spacing w:after="0"/>
              <w:rPr>
                <w:sz w:val="1"/>
                <w:szCs w:val="1"/>
                <w:color w:val="auto"/>
              </w:rPr>
            </w:pPr>
          </w:p>
        </w:tc>
      </w:tr>
      <w:tr>
        <w:trPr>
          <w:trHeight w:val="216"/>
        </w:trPr>
        <w:tc>
          <w:tcPr>
            <w:tcW w:w="5840" w:type="dxa"/>
            <w:vAlign w:val="bottom"/>
            <w:gridSpan w:val="2"/>
          </w:tcPr>
          <w:p>
            <w:pPr>
              <w:ind w:left="60"/>
              <w:spacing w:after="0"/>
              <w:rPr>
                <w:sz w:val="20"/>
                <w:szCs w:val="20"/>
                <w:color w:val="auto"/>
              </w:rPr>
            </w:pPr>
            <w:r>
              <w:rPr>
                <w:rFonts w:ascii="Arial" w:cs="Arial" w:eastAsia="Arial" w:hAnsi="Arial"/>
                <w:sz w:val="18"/>
                <w:szCs w:val="18"/>
                <w:color w:val="auto"/>
              </w:rPr>
              <w:t>Unallocated loss adjustment expenses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1,164,649</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909,591</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2,743,555</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1,915,872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without commercial lines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18,700,844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20,786,414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41,513,560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43,267,109</w:t>
            </w:r>
          </w:p>
        </w:tc>
        <w:tc>
          <w:tcPr>
            <w:tcW w:w="0" w:type="dxa"/>
            <w:vAlign w:val="bottom"/>
          </w:tcPr>
          <w:p>
            <w:pPr>
              <w:spacing w:after="0"/>
              <w:rPr>
                <w:sz w:val="1"/>
                <w:szCs w:val="1"/>
                <w:color w:val="auto"/>
              </w:rPr>
            </w:pPr>
          </w:p>
        </w:tc>
      </w:tr>
      <w:tr>
        <w:trPr>
          <w:trHeight w:val="216"/>
        </w:trPr>
        <w:tc>
          <w:tcPr>
            <w:tcW w:w="5840" w:type="dxa"/>
            <w:vAlign w:val="bottom"/>
            <w:gridSpan w:val="2"/>
          </w:tcPr>
          <w:p>
            <w:pPr>
              <w:ind w:left="60"/>
              <w:spacing w:after="0"/>
              <w:rPr>
                <w:sz w:val="20"/>
                <w:szCs w:val="20"/>
                <w:color w:val="auto"/>
              </w:rPr>
            </w:pPr>
            <w:r>
              <w:rPr>
                <w:rFonts w:ascii="Arial" w:cs="Arial" w:eastAsia="Arial" w:hAnsi="Arial"/>
                <w:sz w:val="18"/>
                <w:szCs w:val="18"/>
                <w:color w:val="auto"/>
              </w:rPr>
              <w:t>Commercial lines (in run-off effective July 2019)(2)</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(44,803)</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(27,204)</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83,679</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52,773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net loss and loss adjustment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18,656,041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20,759,210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41,597,239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43,319,882</w:t>
            </w: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tcPr>
          <w:p>
            <w:pPr>
              <w:spacing w:after="0"/>
              <w:rPr>
                <w:sz w:val="17"/>
                <w:szCs w:val="17"/>
                <w:color w:val="auto"/>
              </w:rPr>
            </w:pPr>
          </w:p>
        </w:tc>
        <w:tc>
          <w:tcPr>
            <w:tcW w:w="45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ratio(4):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Personal lines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55.5%</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74.6%</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Other(1)</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381.1%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without commercial lines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5840" w:type="dxa"/>
            <w:vAlign w:val="bottom"/>
            <w:gridSpan w:val="2"/>
          </w:tcPr>
          <w:p>
            <w:pPr>
              <w:ind w:left="60"/>
              <w:spacing w:after="0"/>
              <w:rPr>
                <w:sz w:val="20"/>
                <w:szCs w:val="20"/>
                <w:color w:val="auto"/>
              </w:rPr>
            </w:pPr>
            <w:r>
              <w:rPr>
                <w:rFonts w:ascii="Arial" w:cs="Arial" w:eastAsia="Arial" w:hAnsi="Arial"/>
                <w:sz w:val="18"/>
                <w:szCs w:val="18"/>
                <w:color w:val="auto"/>
              </w:rPr>
              <w:t>Commercial lines (in run-off effective July 2019)(2)</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98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includes, among other things, premiums and loss and loss adjustment expenses from our participation in a mandatory state joint underwriting association and loss and loss adjustment expenses from commercial auto.</w:t>
      </w:r>
    </w:p>
    <w:p>
      <w:pPr>
        <w:spacing w:after="0" w:line="170"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July 2019, we decided that we will no longer underwrite Commercial Liability risks. See discussions above regarding the discontinuation of this line of business.</w:t>
      </w:r>
    </w:p>
    <w:p>
      <w:pPr>
        <w:spacing w:after="0" w:line="170"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discussion above with regard to “Net Written Premiums and Net Premiums Earned”, as to change in quota share ceding rate, effective December 31, 2021.</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 discussion above with regard to “Net Loss and LAE”, as to catastrophe losses in the three months and six months ended June 30, 2022 and 2021.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Underwriting Business on a Standalone Basis</w:t>
      </w:r>
    </w:p>
    <w:p>
      <w:pPr>
        <w:sectPr>
          <w:pgSz w:w="11900" w:h="16838" w:orient="portrait"/>
          <w:cols w:equalWidth="0" w:num="1">
            <w:col w:w="11240"/>
          </w:cols>
          <w:pgMar w:left="320" w:top="125" w:right="339" w:bottom="0" w:gutter="0" w:footer="0" w:header="0"/>
        </w:sectPr>
      </w:pPr>
    </w:p>
    <w:bookmarkStart w:id="39" w:name="page40"/>
    <w:bookmarkEnd w:id="39"/>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insurance underwriting business reported on a standalone basis for the periods indicated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r>
      <w:tr>
        <w:trPr>
          <w:trHeight w:val="425"/>
        </w:trPr>
        <w:tc>
          <w:tcPr>
            <w:tcW w:w="4640" w:type="dxa"/>
            <w:vAlign w:val="bottom"/>
            <w:gridSpan w:val="2"/>
          </w:tcPr>
          <w:p>
            <w:pPr>
              <w:ind w:left="60"/>
              <w:spacing w:after="0"/>
              <w:rPr>
                <w:sz w:val="20"/>
                <w:szCs w:val="20"/>
                <w:color w:val="auto"/>
              </w:rPr>
            </w:pPr>
            <w:r>
              <w:rPr>
                <w:rFonts w:ascii="Arial" w:cs="Arial" w:eastAsia="Arial" w:hAnsi="Arial"/>
                <w:sz w:val="18"/>
                <w:szCs w:val="18"/>
                <w:b w:val="1"/>
                <w:bCs w:val="1"/>
                <w:color w:val="auto"/>
              </w:rPr>
              <w:t>Revenues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premiums earned</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27,902,068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35,436,426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54,575,448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70,025,644</w:t>
            </w:r>
          </w:p>
        </w:tc>
      </w:tr>
      <w:tr>
        <w:trPr>
          <w:trHeight w:val="216"/>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Ceding commission revenue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4,715,587</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45,741</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9,396,983</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44,676</w:t>
            </w:r>
          </w:p>
        </w:tc>
      </w:tr>
      <w:tr>
        <w:trPr>
          <w:trHeight w:val="216"/>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investment income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634,325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1,678,075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1,993,425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3,461,271</w:t>
            </w:r>
          </w:p>
        </w:tc>
      </w:tr>
      <w:tr>
        <w:trPr>
          <w:trHeight w:val="216"/>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Net (losses) gains on investments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(4,379,853)</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2,254,299</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(8,731,597)</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5,166,824</w:t>
            </w:r>
          </w:p>
        </w:tc>
      </w:tr>
      <w:tr>
        <w:trPr>
          <w:trHeight w:val="216"/>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income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242,620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124,243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471,127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294,552</w:t>
            </w:r>
          </w:p>
        </w:tc>
      </w:tr>
      <w:tr>
        <w:trPr>
          <w:trHeight w:val="20"/>
        </w:trPr>
        <w:tc>
          <w:tcPr>
            <w:tcW w:w="128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4640" w:type="dxa"/>
            <w:vAlign w:val="bottom"/>
            <w:gridSpan w:val="2"/>
          </w:tcPr>
          <w:p>
            <w:pPr>
              <w:ind w:left="400"/>
              <w:spacing w:after="0"/>
              <w:rPr>
                <w:sz w:val="20"/>
                <w:szCs w:val="20"/>
                <w:color w:val="auto"/>
              </w:rPr>
            </w:pPr>
            <w:r>
              <w:rPr>
                <w:rFonts w:ascii="Arial" w:cs="Arial" w:eastAsia="Arial" w:hAnsi="Arial"/>
                <w:sz w:val="18"/>
                <w:szCs w:val="18"/>
                <w:color w:val="auto"/>
              </w:rPr>
              <w:t>Total revenues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29,114,747</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39,538,784</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57,705,386</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78,992,967</w:t>
            </w:r>
          </w:p>
        </w:tc>
      </w:tr>
      <w:tr>
        <w:trPr>
          <w:trHeight w:val="210"/>
        </w:trPr>
        <w:tc>
          <w:tcPr>
            <w:tcW w:w="12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40" w:type="dxa"/>
            <w:vAlign w:val="bottom"/>
            <w:gridSpan w:val="2"/>
          </w:tcPr>
          <w:p>
            <w:pPr>
              <w:ind w:left="60"/>
              <w:spacing w:after="0"/>
              <w:rPr>
                <w:sz w:val="20"/>
                <w:szCs w:val="20"/>
                <w:color w:val="auto"/>
              </w:rPr>
            </w:pPr>
            <w:r>
              <w:rPr>
                <w:rFonts w:ascii="Arial" w:cs="Arial" w:eastAsia="Arial" w:hAnsi="Arial"/>
                <w:sz w:val="18"/>
                <w:szCs w:val="18"/>
                <w:b w:val="1"/>
                <w:bCs w:val="1"/>
                <w:color w:val="auto"/>
              </w:rPr>
              <w:t>Expenses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Loss and loss adjustment expenses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18,656,041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20,759,210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41,597,239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43,319,882</w:t>
            </w:r>
          </w:p>
        </w:tc>
      </w:tr>
      <w:tr>
        <w:trPr>
          <w:trHeight w:val="216"/>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Commission expense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8,481,031</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8,285,341</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16,832,117</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16,509,180</w:t>
            </w:r>
          </w:p>
        </w:tc>
      </w:tr>
      <w:tr>
        <w:trPr>
          <w:trHeight w:val="216"/>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underwriting expenses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6,624,997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6,692,920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13,440,946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13,159,962</w:t>
            </w:r>
          </w:p>
        </w:tc>
      </w:tr>
      <w:tr>
        <w:trPr>
          <w:trHeight w:val="216"/>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867,186</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804,462</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1,627,201</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1,593,297</w:t>
            </w:r>
          </w:p>
        </w:tc>
      </w:tr>
      <w:tr>
        <w:trPr>
          <w:trHeight w:val="20"/>
        </w:trPr>
        <w:tc>
          <w:tcPr>
            <w:tcW w:w="1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expenses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34,629,255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36,541,933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73,497,503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74,582,321</w:t>
            </w:r>
          </w:p>
        </w:tc>
      </w:tr>
      <w:tr>
        <w:trPr>
          <w:trHeight w:val="209"/>
        </w:trPr>
        <w:tc>
          <w:tcPr>
            <w:tcW w:w="128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(Loss) income from operations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(5,514,508)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2,996,851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(15,792,117)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4,410,646</w:t>
            </w:r>
          </w:p>
        </w:tc>
      </w:tr>
      <w:tr>
        <w:trPr>
          <w:trHeight w:val="216"/>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Income tax (benefit) expense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(1,170,034)</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569,266</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(3,357,294)</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820,831</w:t>
            </w:r>
          </w:p>
        </w:tc>
      </w:tr>
      <w:tr>
        <w:trPr>
          <w:trHeight w:val="20"/>
        </w:trPr>
        <w:tc>
          <w:tcPr>
            <w:tcW w:w="1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46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Net (loss) income</w:t>
            </w:r>
          </w:p>
        </w:tc>
        <w:tc>
          <w:tcPr>
            <w:tcW w:w="1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(4,344,474)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2,427,585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(12,434,823)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3,589,815</w:t>
            </w:r>
          </w:p>
        </w:tc>
      </w:tr>
      <w:tr>
        <w:trPr>
          <w:trHeight w:val="197"/>
        </w:trPr>
        <w:tc>
          <w:tcPr>
            <w:tcW w:w="1280" w:type="dxa"/>
            <w:vAlign w:val="bottom"/>
            <w:tcBorders>
              <w:top w:val="single" w:sz="8" w:color="CCEEFF"/>
            </w:tcBorders>
          </w:tcPr>
          <w:p>
            <w:pPr>
              <w:spacing w:after="0"/>
              <w:rPr>
                <w:sz w:val="17"/>
                <w:szCs w:val="17"/>
                <w:color w:val="auto"/>
              </w:rPr>
            </w:pPr>
          </w:p>
        </w:tc>
        <w:tc>
          <w:tcPr>
            <w:tcW w:w="336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46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Key Measures: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Net loss ratio</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58.6%</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76.2%</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61.9%</w:t>
            </w:r>
          </w:p>
        </w:tc>
      </w:tr>
      <w:tr>
        <w:trPr>
          <w:trHeight w:val="216"/>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underwriting expense ratio</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r>
      <w:tr>
        <w:trPr>
          <w:trHeight w:val="20"/>
        </w:trPr>
        <w:tc>
          <w:tcPr>
            <w:tcW w:w="128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Net combined ratio</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103.3%</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100.4%</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113.6%</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103.8%</w:t>
            </w:r>
          </w:p>
        </w:tc>
      </w:tr>
      <w:tr>
        <w:trPr>
          <w:trHeight w:val="20"/>
        </w:trPr>
        <w:tc>
          <w:tcPr>
            <w:tcW w:w="1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Reconciliation of net underwriting expense ratio:</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Acquisition costs and other</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40" w:type="dxa"/>
            <w:vAlign w:val="bottom"/>
            <w:gridSpan w:val="2"/>
          </w:tcPr>
          <w:p>
            <w:pPr>
              <w:ind w:left="420"/>
              <w:spacing w:after="0"/>
              <w:rPr>
                <w:sz w:val="20"/>
                <w:szCs w:val="20"/>
                <w:color w:val="auto"/>
              </w:rPr>
            </w:pPr>
            <w:r>
              <w:rPr>
                <w:rFonts w:ascii="Arial" w:cs="Arial" w:eastAsia="Arial" w:hAnsi="Arial"/>
                <w:sz w:val="18"/>
                <w:szCs w:val="18"/>
                <w:color w:val="auto"/>
              </w:rPr>
              <w:t>underwriting expenses</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15,106,028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14,978,261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30,273,063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29,669,142</w:t>
            </w:r>
          </w:p>
        </w:tc>
      </w:tr>
      <w:tr>
        <w:trPr>
          <w:trHeight w:val="216"/>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Less: Ceding commission revenue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(4,715,587)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(45,741)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(9,396,983)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(44,676)</w:t>
            </w:r>
          </w:p>
        </w:tc>
      </w:tr>
      <w:tr>
        <w:trPr>
          <w:trHeight w:val="216"/>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Less: Other income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(242,620)</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(124,243)</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(471,127)</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(294,552)</w:t>
            </w:r>
          </w:p>
        </w:tc>
      </w:tr>
      <w:tr>
        <w:trPr>
          <w:trHeight w:val="20"/>
        </w:trPr>
        <w:tc>
          <w:tcPr>
            <w:tcW w:w="1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underwriting expenses</w:t>
            </w:r>
          </w:p>
        </w:tc>
        <w:tc>
          <w:tcPr>
            <w:tcW w:w="1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10,147,821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14,808,277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20,404,953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29,329,914</w:t>
            </w:r>
          </w:p>
        </w:tc>
      </w:tr>
      <w:tr>
        <w:trPr>
          <w:trHeight w:val="197"/>
        </w:trPr>
        <w:tc>
          <w:tcPr>
            <w:tcW w:w="1280" w:type="dxa"/>
            <w:vAlign w:val="bottom"/>
            <w:tcBorders>
              <w:top w:val="single" w:sz="8" w:color="CCEEFF"/>
            </w:tcBorders>
          </w:tcPr>
          <w:p>
            <w:pPr>
              <w:spacing w:after="0"/>
              <w:rPr>
                <w:sz w:val="17"/>
                <w:szCs w:val="17"/>
                <w:color w:val="auto"/>
              </w:rPr>
            </w:pPr>
          </w:p>
        </w:tc>
        <w:tc>
          <w:tcPr>
            <w:tcW w:w="336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56"/>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premiums earned</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27,902,068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35,436,426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54,575,448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70,025,644</w:t>
            </w:r>
          </w:p>
        </w:tc>
      </w:tr>
      <w:tr>
        <w:trPr>
          <w:trHeight w:val="196"/>
        </w:trPr>
        <w:tc>
          <w:tcPr>
            <w:tcW w:w="1280" w:type="dxa"/>
            <w:vAlign w:val="bottom"/>
            <w:tcBorders>
              <w:top w:val="single" w:sz="8" w:color="CCEEFF"/>
            </w:tcBorders>
          </w:tcPr>
          <w:p>
            <w:pPr>
              <w:spacing w:after="0"/>
              <w:rPr>
                <w:sz w:val="17"/>
                <w:szCs w:val="17"/>
                <w:color w:val="auto"/>
              </w:rPr>
            </w:pPr>
          </w:p>
        </w:tc>
        <w:tc>
          <w:tcPr>
            <w:tcW w:w="336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56"/>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Underwriting Expense Ratio</w:t>
            </w:r>
          </w:p>
        </w:tc>
        <w:tc>
          <w:tcPr>
            <w:tcW w:w="1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336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3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2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An analysis of our direct, assumed and ceded earned premiums, loss and loss adjustment expenses, and loss ratios is shown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vMerge w:val="restart"/>
          </w:tcPr>
          <w:p>
            <w:pPr>
              <w:jc w:val="center"/>
              <w:ind w:right="3290"/>
              <w:spacing w:after="0"/>
              <w:rPr>
                <w:sz w:val="20"/>
                <w:szCs w:val="20"/>
                <w:color w:val="auto"/>
              </w:rPr>
            </w:pPr>
            <w:r>
              <w:rPr>
                <w:rFonts w:ascii="Arial" w:cs="Arial" w:eastAsia="Arial" w:hAnsi="Arial"/>
                <w:sz w:val="18"/>
                <w:szCs w:val="18"/>
                <w:b w:val="1"/>
                <w:bCs w:val="1"/>
                <w:color w:val="auto"/>
                <w:w w:val="88"/>
              </w:rPr>
              <w:t>Six months ended June 30, 2022</w:t>
            </w:r>
          </w:p>
        </w:tc>
        <w:tc>
          <w:tcPr>
            <w:tcW w:w="20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Direct</w:t>
            </w:r>
          </w:p>
        </w:tc>
        <w:tc>
          <w:tcPr>
            <w:tcW w:w="14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Assumed</w:t>
            </w:r>
          </w:p>
        </w:tc>
        <w:tc>
          <w:tcPr>
            <w:tcW w:w="16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Ceded</w:t>
            </w:r>
          </w:p>
        </w:tc>
        <w:tc>
          <w:tcPr>
            <w:tcW w:w="180" w:type="dxa"/>
            <w:vAlign w:val="bottom"/>
          </w:tcPr>
          <w:p>
            <w:pPr>
              <w:spacing w:after="0"/>
              <w:rPr>
                <w:sz w:val="20"/>
                <w:szCs w:val="20"/>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Written premiums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92,762,360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(37,818,392)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54,943,968</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Change in unearned premiums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(393,353)</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24,833</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(368,520)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 premiums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92,369,007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(37,793,559)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54,575,448</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 excluding</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jc w:val="center"/>
              <w:ind w:right="3270"/>
              <w:spacing w:after="0"/>
              <w:rPr>
                <w:sz w:val="20"/>
                <w:szCs w:val="20"/>
                <w:color w:val="auto"/>
              </w:rPr>
            </w:pPr>
            <w:r>
              <w:rPr>
                <w:rFonts w:ascii="Arial" w:cs="Arial" w:eastAsia="Arial" w:hAnsi="Arial"/>
                <w:sz w:val="18"/>
                <w:szCs w:val="18"/>
                <w:color w:val="auto"/>
                <w:w w:val="89"/>
              </w:rPr>
              <w:t>the effect of catastrophes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52,832,153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(14,366,628)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38,465,525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7,032,470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(3,900,756)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3,131,714</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Loss and loss adjustment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59,864,623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(18,267,384)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41,597,239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Loss ratio excluding the effect of catastrophes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57.2%</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64.8%</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jc w:val="center"/>
              <w:ind w:right="3290"/>
              <w:spacing w:after="0"/>
              <w:rPr>
                <w:sz w:val="20"/>
                <w:szCs w:val="20"/>
                <w:color w:val="auto"/>
              </w:rPr>
            </w:pPr>
            <w:r>
              <w:rPr>
                <w:rFonts w:ascii="Arial" w:cs="Arial" w:eastAsia="Arial" w:hAnsi="Arial"/>
                <w:sz w:val="18"/>
                <w:szCs w:val="18"/>
                <w:b w:val="1"/>
                <w:bCs w:val="1"/>
                <w:color w:val="auto"/>
                <w:w w:val="88"/>
              </w:rPr>
              <w:t>Six months ended June 30, 2021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Written premiums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82,744,761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(14,630,872)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68,113,889</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Change in unearned premiums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1,936,706</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(24,951)</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1,911,755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 premiums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84,681,467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(14,655,823)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70,025,644</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 excluding</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jc w:val="center"/>
              <w:ind w:right="3270"/>
              <w:spacing w:after="0"/>
              <w:rPr>
                <w:sz w:val="20"/>
                <w:szCs w:val="20"/>
                <w:color w:val="auto"/>
              </w:rPr>
            </w:pPr>
            <w:r>
              <w:rPr>
                <w:rFonts w:ascii="Arial" w:cs="Arial" w:eastAsia="Arial" w:hAnsi="Arial"/>
                <w:sz w:val="18"/>
                <w:szCs w:val="18"/>
                <w:color w:val="auto"/>
                <w:w w:val="89"/>
              </w:rPr>
              <w:t>the effect of catastrophes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44,096,040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(881,729)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43,214,311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105,571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105,571</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color w:val="auto"/>
              </w:rPr>
              <w:t>Loss and loss adjustment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44,201,611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(881,729)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43,319,882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341" w:right="339" w:bottom="0" w:gutter="0" w:footer="0" w:header="0"/>
        </w:sectPr>
      </w:pPr>
    </w:p>
    <w:bookmarkStart w:id="40" w:name="page41"/>
    <w:bookmarkEnd w:id="4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Loss ratio excluding the effect of catastrophes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52.1%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61.8%</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20"/>
        </w:trPr>
        <w:tc>
          <w:tcPr>
            <w:tcW w:w="58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52.2%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61.9%</w:t>
            </w:r>
          </w:p>
        </w:tc>
      </w:tr>
      <w:tr>
        <w:trPr>
          <w:trHeight w:val="20"/>
        </w:trPr>
        <w:tc>
          <w:tcPr>
            <w:tcW w:w="5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Three months ended June 30, 2022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Written premiums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49,778,463</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(19,752,683)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30,025,780</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Change in unearned premiums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(2,786,080)</w:t>
            </w:r>
          </w:p>
        </w:tc>
        <w:tc>
          <w:tcPr>
            <w:tcW w:w="4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662,368</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(2,123,712)</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 premiums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46,992,383</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(19,090,315)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27,902,068</w:t>
            </w:r>
          </w:p>
        </w:tc>
      </w:tr>
      <w:tr>
        <w:trPr>
          <w:trHeight w:val="197"/>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 excluding</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340"/>
              <w:spacing w:after="0"/>
              <w:rPr>
                <w:sz w:val="20"/>
                <w:szCs w:val="20"/>
                <w:color w:val="auto"/>
              </w:rPr>
            </w:pPr>
            <w:r>
              <w:rPr>
                <w:rFonts w:ascii="Arial" w:cs="Arial" w:eastAsia="Arial" w:hAnsi="Arial"/>
                <w:sz w:val="18"/>
                <w:szCs w:val="18"/>
                <w:color w:val="auto"/>
              </w:rPr>
              <w:t>the effect of catastrophes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26,323,489</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(7,779,738)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18,543,751</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195,070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(82,780)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112,290</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Loss and loss adjustment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26,518,559</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(7,862,518)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18,656,041</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Loss ratio excluding the effect of catastrophes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56.0%</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66.5%</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56.4%</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66.9%</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Three months ended June 30, 2021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Written premiums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44,615,644</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(7,301,365)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37,314,279</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Change in unearned premiums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(1,852,772)</w:t>
            </w:r>
          </w:p>
        </w:tc>
        <w:tc>
          <w:tcPr>
            <w:tcW w:w="4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(25,081)</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(1,877,853)</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 premiums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42,762,872</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(7,326,446)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35,436,426</w:t>
            </w:r>
          </w:p>
        </w:tc>
      </w:tr>
      <w:tr>
        <w:trPr>
          <w:trHeight w:val="197"/>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expenses excluding</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340"/>
              <w:spacing w:after="0"/>
              <w:rPr>
                <w:sz w:val="20"/>
                <w:szCs w:val="20"/>
                <w:color w:val="auto"/>
              </w:rPr>
            </w:pPr>
            <w:r>
              <w:rPr>
                <w:rFonts w:ascii="Arial" w:cs="Arial" w:eastAsia="Arial" w:hAnsi="Arial"/>
                <w:sz w:val="18"/>
                <w:szCs w:val="18"/>
                <w:color w:val="auto"/>
              </w:rPr>
              <w:t>the effect of catastrophes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20,940,307</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(57,873)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20,882,434</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(123,224)</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(123,224)</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Loss and loss adjustment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20,817,083</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(57,873)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20,759,210</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Loss ratio excluding the effect of catastrophes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49.0%</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Catastrophe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Loss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48.7%</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58.6%</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auto"/>
        </w:rPr>
        <w:t>(Percent components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key measures for our insurance underwriting business for the periods indicated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r>
      <w:tr>
        <w:trPr>
          <w:trHeight w:val="210"/>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27,902,068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35,436,426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54,575,448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70,025,644</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4,715,587</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45,741</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9,396,983</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44,676</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242,620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124,243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471,127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294,552</w:t>
            </w:r>
          </w:p>
        </w:tc>
      </w:t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and loss adjustment expenses (1)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18,656,041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20,759,210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41,597,239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43,319,882</w:t>
            </w:r>
          </w:p>
        </w:tc>
      </w:t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 and other underwriting expenses: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Commission expense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8,481,031</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8,285,341</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16,832,117</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16,509,180</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6,624,997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6,692,920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13,440,946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13,159,962</w:t>
            </w:r>
          </w:p>
        </w:tc>
      </w:tr>
      <w:tr>
        <w:trPr>
          <w:trHeight w:val="209"/>
        </w:trPr>
        <w:tc>
          <w:tcPr>
            <w:tcW w:w="5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acquisition costs and other</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underwriting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15,106,028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14,978,261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30,273,063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29,669,142</w:t>
            </w:r>
          </w:p>
        </w:tc>
      </w:tr>
      <w:tr>
        <w:trPr>
          <w:trHeight w:val="210"/>
        </w:trPr>
        <w:tc>
          <w:tcPr>
            <w:tcW w:w="58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5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Underwriting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(901,794)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(131,061)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(7,426,744)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(2,624,152)</w:t>
            </w:r>
          </w:p>
        </w:tc>
      </w:tr>
      <w:tr>
        <w:trPr>
          <w:trHeight w:val="197"/>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Key Measures: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Net loss ratio excluding the effect of catastrophes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66.5%</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70.5%</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61.7%</w:t>
            </w:r>
          </w:p>
        </w:tc>
      </w:tr>
      <w:tr>
        <w:trPr>
          <w:trHeight w:val="216"/>
        </w:trPr>
        <w:tc>
          <w:tcPr>
            <w:tcW w:w="5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 of catastrophe loss on net loss ratio (1)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240"/>
              <w:spacing w:after="0"/>
              <w:rPr>
                <w:sz w:val="20"/>
                <w:szCs w:val="20"/>
                <w:color w:val="auto"/>
              </w:rPr>
            </w:pPr>
            <w:r>
              <w:rPr>
                <w:rFonts w:ascii="Arial" w:cs="Arial" w:eastAsia="Arial" w:hAnsi="Arial"/>
                <w:sz w:val="18"/>
                <w:szCs w:val="18"/>
                <w:color w:val="auto"/>
              </w:rPr>
              <w:t>Net loss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58.6%</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76.2%</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61.9%</w:t>
            </w:r>
          </w:p>
        </w:tc>
      </w:tr>
      <w:tr>
        <w:trPr>
          <w:trHeight w:val="209"/>
        </w:trPr>
        <w:tc>
          <w:tcPr>
            <w:tcW w:w="5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240"/>
              <w:spacing w:after="0"/>
              <w:rPr>
                <w:sz w:val="20"/>
                <w:szCs w:val="20"/>
                <w:color w:val="auto"/>
              </w:rPr>
            </w:pPr>
            <w:r>
              <w:rPr>
                <w:rFonts w:ascii="Arial" w:cs="Arial" w:eastAsia="Arial" w:hAnsi="Arial"/>
                <w:sz w:val="18"/>
                <w:szCs w:val="18"/>
                <w:color w:val="auto"/>
              </w:rPr>
              <w:t>Net underwriting expense ratio excluding the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catastrophes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r>
      <w:tr>
        <w:trPr>
          <w:trHeight w:val="216"/>
        </w:trPr>
        <w:tc>
          <w:tcPr>
            <w:tcW w:w="5840" w:type="dxa"/>
            <w:vAlign w:val="bottom"/>
          </w:tcPr>
          <w:p>
            <w:pPr>
              <w:ind w:left="240"/>
              <w:spacing w:after="0"/>
              <w:rPr>
                <w:sz w:val="20"/>
                <w:szCs w:val="20"/>
                <w:color w:val="auto"/>
              </w:rPr>
            </w:pPr>
            <w:r>
              <w:rPr>
                <w:rFonts w:ascii="Arial" w:cs="Arial" w:eastAsia="Arial" w:hAnsi="Arial"/>
                <w:sz w:val="18"/>
                <w:szCs w:val="18"/>
                <w:color w:val="auto"/>
              </w:rPr>
              <w:t>Effect of catastrophe loss on net underwriting</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expense ratio</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240"/>
              <w:spacing w:after="0"/>
              <w:rPr>
                <w:sz w:val="20"/>
                <w:szCs w:val="20"/>
                <w:color w:val="auto"/>
              </w:rPr>
            </w:pPr>
            <w:r>
              <w:rPr>
                <w:rFonts w:ascii="Arial" w:cs="Arial" w:eastAsia="Arial" w:hAnsi="Arial"/>
                <w:sz w:val="18"/>
                <w:szCs w:val="18"/>
                <w:color w:val="auto"/>
              </w:rPr>
              <w:t>Net underwriting expense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37.4%</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r>
      <w:tr>
        <w:trPr>
          <w:trHeight w:val="209"/>
        </w:trPr>
        <w:tc>
          <w:tcPr>
            <w:tcW w:w="5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240"/>
              <w:spacing w:after="0"/>
              <w:rPr>
                <w:sz w:val="20"/>
                <w:szCs w:val="20"/>
                <w:color w:val="auto"/>
              </w:rPr>
            </w:pPr>
            <w:r>
              <w:rPr>
                <w:rFonts w:ascii="Arial" w:cs="Arial" w:eastAsia="Arial" w:hAnsi="Arial"/>
                <w:sz w:val="18"/>
                <w:szCs w:val="18"/>
                <w:color w:val="auto"/>
              </w:rPr>
              <w:t>Net combined ratio excluding the effect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 catastrophes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w:t>
            </w:r>
          </w:p>
        </w:tc>
      </w:tr>
      <w:tr>
        <w:trPr>
          <w:trHeight w:val="245"/>
        </w:trPr>
        <w:tc>
          <w:tcPr>
            <w:tcW w:w="5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Effect of catastrophe loss on net combined</w:t>
            </w:r>
          </w:p>
        </w:tc>
        <w:tc>
          <w:tcPr>
            <w:tcW w:w="2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r>
    </w:tbl>
    <w:p>
      <w:pPr>
        <w:sectPr>
          <w:pgSz w:w="11900" w:h="16900" w:orient="portrait"/>
          <w:cols w:equalWidth="0" w:num="1">
            <w:col w:w="11240"/>
          </w:cols>
          <w:pgMar w:left="320" w:top="140" w:right="33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ratio (1)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240"/>
              <w:spacing w:after="0"/>
              <w:rPr>
                <w:sz w:val="20"/>
                <w:szCs w:val="20"/>
                <w:color w:val="auto"/>
              </w:rPr>
            </w:pPr>
            <w:r>
              <w:rPr>
                <w:rFonts w:ascii="Arial" w:cs="Arial" w:eastAsia="Arial" w:hAnsi="Arial"/>
                <w:sz w:val="18"/>
                <w:szCs w:val="18"/>
                <w:color w:val="auto"/>
              </w:rPr>
              <w:t>Net combined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103.3%</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100.4%</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113.6%</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103.8%</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240"/>
              <w:spacing w:after="0"/>
              <w:rPr>
                <w:sz w:val="20"/>
                <w:szCs w:val="20"/>
                <w:color w:val="auto"/>
              </w:rPr>
            </w:pPr>
            <w:r>
              <w:rPr>
                <w:rFonts w:ascii="Arial" w:cs="Arial" w:eastAsia="Arial" w:hAnsi="Arial"/>
                <w:sz w:val="18"/>
                <w:szCs w:val="18"/>
                <w:color w:val="auto"/>
              </w:rPr>
              <w:t>Reconciliation of net underwriting expense ratio:</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costs and other</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420"/>
              <w:spacing w:after="0"/>
              <w:rPr>
                <w:sz w:val="20"/>
                <w:szCs w:val="20"/>
                <w:color w:val="auto"/>
              </w:rPr>
            </w:pPr>
            <w:r>
              <w:rPr>
                <w:rFonts w:ascii="Arial" w:cs="Arial" w:eastAsia="Arial" w:hAnsi="Arial"/>
                <w:sz w:val="18"/>
                <w:szCs w:val="18"/>
                <w:color w:val="auto"/>
              </w:rPr>
              <w:t>underwriting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15,106,028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14,978,261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30,273,063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29,669,142</w:t>
            </w:r>
          </w:p>
        </w:tc>
      </w:tr>
      <w:tr>
        <w:trPr>
          <w:trHeight w:val="216"/>
        </w:trPr>
        <w:tc>
          <w:tcPr>
            <w:tcW w:w="5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Ceding commission revenue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(4,715,587)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(45,741)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(9,396,983)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(44,676)</w:t>
            </w:r>
          </w:p>
        </w:tc>
      </w:tr>
      <w:tr>
        <w:trPr>
          <w:trHeight w:val="216"/>
        </w:trPr>
        <w:tc>
          <w:tcPr>
            <w:tcW w:w="5840" w:type="dxa"/>
            <w:vAlign w:val="bottom"/>
          </w:tcPr>
          <w:p>
            <w:pPr>
              <w:ind w:left="240"/>
              <w:spacing w:after="0"/>
              <w:rPr>
                <w:sz w:val="20"/>
                <w:szCs w:val="20"/>
                <w:color w:val="auto"/>
              </w:rPr>
            </w:pPr>
            <w:r>
              <w:rPr>
                <w:rFonts w:ascii="Arial" w:cs="Arial" w:eastAsia="Arial" w:hAnsi="Arial"/>
                <w:sz w:val="18"/>
                <w:szCs w:val="18"/>
                <w:color w:val="auto"/>
              </w:rPr>
              <w:t>Less: Other income</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(242,620)</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(124,243)</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(471,127)</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(294,552)</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10,147,821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14,808,277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20,404,953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29,329,914</w:t>
            </w:r>
          </w:p>
        </w:tc>
      </w:tr>
      <w:tr>
        <w:trPr>
          <w:trHeight w:val="197"/>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56"/>
        </w:trPr>
        <w:tc>
          <w:tcPr>
            <w:tcW w:w="5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earned premium</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27,902,068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35,436,426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54,575,448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70,025,644</w:t>
            </w:r>
          </w:p>
        </w:tc>
      </w:tr>
      <w:tr>
        <w:trPr>
          <w:trHeight w:val="197"/>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36"/>
        </w:trPr>
        <w:tc>
          <w:tcPr>
            <w:tcW w:w="5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Underwriting Expense Ratio</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three months ended June 30, 2022 and 2021, includes the sum of net catastrophe losses and loss adjustment expenses of $112,290 and</w:t>
      </w:r>
    </w:p>
    <w:p>
      <w:pPr>
        <w:spacing w:after="0" w:line="46" w:lineRule="exact"/>
        <w:rPr>
          <w:rFonts w:ascii="Arial" w:cs="Arial" w:eastAsia="Arial" w:hAnsi="Arial"/>
          <w:sz w:val="16"/>
          <w:szCs w:val="16"/>
          <w:color w:val="auto"/>
        </w:rPr>
      </w:pPr>
    </w:p>
    <w:p>
      <w:pPr>
        <w:ind w:left="460" w:right="120"/>
        <w:spacing w:after="0" w:line="260" w:lineRule="auto"/>
        <w:rPr>
          <w:rFonts w:ascii="Arial" w:cs="Arial" w:eastAsia="Arial" w:hAnsi="Arial"/>
          <w:sz w:val="16"/>
          <w:szCs w:val="16"/>
          <w:color w:val="auto"/>
        </w:rPr>
      </w:pPr>
      <w:r>
        <w:rPr>
          <w:rFonts w:ascii="Arial" w:cs="Arial" w:eastAsia="Arial" w:hAnsi="Arial"/>
          <w:sz w:val="18"/>
          <w:szCs w:val="18"/>
          <w:color w:val="auto"/>
        </w:rPr>
        <w:t>$(123,224), respectively. For the six months ended June 30, 2022 and 2021, includes the sum of net catastrophe losses and loss adjustment expenses of $3,131,714 and $105,571,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Portfolio Summary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Fixed-Maturity Securities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breakdown of the amortized cost, estimated fair value, and unrealized gains and losses of our investments in fixed-maturity securities classified as available-for-sale as of June 30, 2022 and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8"/>
                <w:szCs w:val="18"/>
                <w:b w:val="1"/>
                <w:bCs w:val="1"/>
                <w:color w:val="auto"/>
              </w:rPr>
              <w:t>June 30, 2022</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25"/>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Cost or</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24"/>
                <w:szCs w:val="24"/>
                <w:color w:val="auto"/>
              </w:rPr>
            </w:pPr>
          </w:p>
        </w:tc>
        <w:tc>
          <w:tcPr>
            <w:tcW w:w="22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88"/>
              </w:rPr>
              <w:t>Gross Unrealized Losses</w:t>
            </w:r>
          </w:p>
        </w:tc>
        <w:tc>
          <w:tcPr>
            <w:tcW w:w="100" w:type="dxa"/>
            <w:vAlign w:val="bottom"/>
          </w:tcPr>
          <w:p>
            <w:pPr>
              <w:spacing w:after="0"/>
              <w:rPr>
                <w:sz w:val="24"/>
                <w:szCs w:val="2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 of</w:t>
            </w:r>
          </w:p>
        </w:tc>
      </w:tr>
      <w:tr>
        <w:trPr>
          <w:trHeight w:val="191"/>
        </w:trPr>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5"/>
              </w:rPr>
              <w:t>Less than</w:t>
            </w: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r>
      <w:tr>
        <w:trPr>
          <w:trHeight w:val="234"/>
        </w:trPr>
        <w:tc>
          <w:tcPr>
            <w:tcW w:w="4200" w:type="dxa"/>
            <w:vAlign w:val="bottom"/>
            <w:gridSpan w:val="4"/>
          </w:tcPr>
          <w:p>
            <w:pPr>
              <w:ind w:left="60"/>
              <w:spacing w:after="0"/>
              <w:rPr>
                <w:sz w:val="20"/>
                <w:szCs w:val="20"/>
                <w:color w:val="auto"/>
              </w:rPr>
            </w:pPr>
            <w:r>
              <w:rPr>
                <w:rFonts w:ascii="Arial" w:cs="Arial" w:eastAsia="Arial" w:hAnsi="Arial"/>
                <w:sz w:val="18"/>
                <w:szCs w:val="18"/>
                <w:b w:val="1"/>
                <w:bCs w:val="1"/>
                <w:color w:val="auto"/>
              </w:rPr>
              <w:t>Category</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Value</w:t>
            </w:r>
          </w:p>
        </w:tc>
      </w:tr>
      <w:tr>
        <w:trPr>
          <w:trHeight w:val="425"/>
        </w:trPr>
        <w:tc>
          <w:tcPr>
            <w:tcW w:w="420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Political subdivisions of States,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2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Territories and Possessions</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17,218,274</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(3,020,486)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14,197,788</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0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Corporate and other bonds</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00" w:type="dxa"/>
            <w:vAlign w:val="bottom"/>
            <w:gridSpan w:val="4"/>
          </w:tcPr>
          <w:p>
            <w:pPr>
              <w:ind w:left="60"/>
              <w:spacing w:after="0"/>
              <w:rPr>
                <w:sz w:val="20"/>
                <w:szCs w:val="20"/>
                <w:color w:val="auto"/>
              </w:rPr>
            </w:pPr>
            <w:r>
              <w:rPr>
                <w:rFonts w:ascii="Arial" w:cs="Arial" w:eastAsia="Arial" w:hAnsi="Arial"/>
                <w:sz w:val="18"/>
                <w:szCs w:val="18"/>
                <w:color w:val="auto"/>
              </w:rPr>
              <w:t>Industrial and miscellaneous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84,235,861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(6,562,506)</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77,683,137</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54.9%</w:t>
            </w:r>
          </w:p>
        </w:tc>
      </w:tr>
      <w:tr>
        <w:trPr>
          <w:trHeight w:val="216"/>
        </w:trPr>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00" w:type="dxa"/>
            <w:vAlign w:val="bottom"/>
            <w:gridSpan w:val="4"/>
          </w:tcPr>
          <w:p>
            <w:pPr>
              <w:ind w:left="60"/>
              <w:spacing w:after="0"/>
              <w:rPr>
                <w:sz w:val="20"/>
                <w:szCs w:val="20"/>
                <w:color w:val="auto"/>
              </w:rPr>
            </w:pPr>
            <w:r>
              <w:rPr>
                <w:rFonts w:ascii="Arial" w:cs="Arial" w:eastAsia="Arial" w:hAnsi="Arial"/>
                <w:sz w:val="18"/>
                <w:szCs w:val="18"/>
                <w:color w:val="auto"/>
              </w:rPr>
              <w:t>Residential mortgage and other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0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asset backed securities</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55,228,980</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114,844</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(5,387,294)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(339,668)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49,616,862</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r>
      <w:tr>
        <w:trPr>
          <w:trHeight w:val="20"/>
        </w:trPr>
        <w:tc>
          <w:tcPr>
            <w:tcW w:w="6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200" w:type="dxa"/>
            <w:vAlign w:val="bottom"/>
            <w:gridSpan w:val="4"/>
          </w:tcPr>
          <w:p>
            <w:pPr>
              <w:ind w:left="220"/>
              <w:spacing w:after="0"/>
              <w:rPr>
                <w:sz w:val="20"/>
                <w:szCs w:val="20"/>
                <w:color w:val="auto"/>
              </w:rPr>
            </w:pPr>
            <w:r>
              <w:rPr>
                <w:rFonts w:ascii="Arial" w:cs="Arial" w:eastAsia="Arial" w:hAnsi="Arial"/>
                <w:sz w:val="18"/>
                <w:szCs w:val="18"/>
                <w:color w:val="auto"/>
              </w:rPr>
              <w:t>Total fixed-maturity securities</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5"/>
              </w:rPr>
              <w:t>156,683,115</w:t>
            </w:r>
          </w:p>
        </w:tc>
        <w:tc>
          <w:tcPr>
            <w:tcW w:w="8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124,626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(14,970,286)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(339,668)</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141,497,787</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b w:val="1"/>
                <w:bCs w:val="1"/>
                <w:color w:val="auto"/>
                <w:w w:val="99"/>
              </w:rPr>
              <w:t>December 31, 2021</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25"/>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Cost or</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24"/>
                <w:szCs w:val="24"/>
                <w:color w:val="auto"/>
              </w:rPr>
            </w:pPr>
          </w:p>
        </w:tc>
        <w:tc>
          <w:tcPr>
            <w:tcW w:w="22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9"/>
              </w:rPr>
              <w:t>Gross Unrealized Losses</w:t>
            </w:r>
          </w:p>
        </w:tc>
        <w:tc>
          <w:tcPr>
            <w:tcW w:w="100" w:type="dxa"/>
            <w:vAlign w:val="bottom"/>
          </w:tcPr>
          <w:p>
            <w:pPr>
              <w:spacing w:after="0"/>
              <w:rPr>
                <w:sz w:val="24"/>
                <w:szCs w:val="2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 of</w:t>
            </w:r>
          </w:p>
        </w:tc>
      </w:tr>
      <w:tr>
        <w:trPr>
          <w:trHeight w:val="191"/>
        </w:trPr>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Less than</w:t>
            </w: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r>
      <w:tr>
        <w:trPr>
          <w:trHeight w:val="234"/>
        </w:trPr>
        <w:tc>
          <w:tcPr>
            <w:tcW w:w="4200" w:type="dxa"/>
            <w:vAlign w:val="bottom"/>
            <w:gridSpan w:val="4"/>
          </w:tcPr>
          <w:p>
            <w:pPr>
              <w:ind w:left="60"/>
              <w:spacing w:after="0"/>
              <w:rPr>
                <w:sz w:val="20"/>
                <w:szCs w:val="20"/>
                <w:color w:val="auto"/>
              </w:rPr>
            </w:pPr>
            <w:r>
              <w:rPr>
                <w:rFonts w:ascii="Arial" w:cs="Arial" w:eastAsia="Arial" w:hAnsi="Arial"/>
                <w:sz w:val="18"/>
                <w:szCs w:val="18"/>
                <w:b w:val="1"/>
                <w:bCs w:val="1"/>
                <w:color w:val="auto"/>
              </w:rPr>
              <w:t>Category</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Months</w:t>
            </w:r>
          </w:p>
        </w:tc>
        <w:tc>
          <w:tcPr>
            <w:tcW w:w="8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Value</w:t>
            </w:r>
          </w:p>
        </w:tc>
      </w:tr>
      <w:tr>
        <w:trPr>
          <w:trHeight w:val="425"/>
        </w:trPr>
        <w:tc>
          <w:tcPr>
            <w:tcW w:w="420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Political subdivisions of States,</w:t>
            </w: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2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Territories and Possessions</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17,236,750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246,748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(197,984)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17,285,514</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0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Corporate and other bonds</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00" w:type="dxa"/>
            <w:vAlign w:val="bottom"/>
            <w:gridSpan w:val="4"/>
          </w:tcPr>
          <w:p>
            <w:pPr>
              <w:ind w:left="60"/>
              <w:spacing w:after="0"/>
              <w:rPr>
                <w:sz w:val="20"/>
                <w:szCs w:val="20"/>
                <w:color w:val="auto"/>
              </w:rPr>
            </w:pPr>
            <w:r>
              <w:rPr>
                <w:rFonts w:ascii="Arial" w:cs="Arial" w:eastAsia="Arial" w:hAnsi="Arial"/>
                <w:sz w:val="18"/>
                <w:szCs w:val="18"/>
                <w:color w:val="auto"/>
              </w:rPr>
              <w:t>Industrial and miscellaneous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80,534,769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2,603,411</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(126,926)</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83,011,254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52.5%</w:t>
            </w:r>
          </w:p>
        </w:tc>
      </w:tr>
      <w:tr>
        <w:trPr>
          <w:trHeight w:val="216"/>
        </w:trPr>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00" w:type="dxa"/>
            <w:vAlign w:val="bottom"/>
            <w:gridSpan w:val="4"/>
          </w:tcPr>
          <w:p>
            <w:pPr>
              <w:ind w:left="60"/>
              <w:spacing w:after="0"/>
              <w:rPr>
                <w:sz w:val="20"/>
                <w:szCs w:val="20"/>
                <w:color w:val="auto"/>
              </w:rPr>
            </w:pPr>
            <w:r>
              <w:rPr>
                <w:rFonts w:ascii="Arial" w:cs="Arial" w:eastAsia="Arial" w:hAnsi="Arial"/>
                <w:sz w:val="18"/>
                <w:szCs w:val="18"/>
                <w:color w:val="auto"/>
              </w:rPr>
              <w:t>Residential mortgage and other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0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asset backed securities</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58,036,959</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355,985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(489,258)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(120,344)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57,783,342</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r>
      <w:tr>
        <w:trPr>
          <w:trHeight w:val="20"/>
        </w:trPr>
        <w:tc>
          <w:tcPr>
            <w:tcW w:w="6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4200" w:type="dxa"/>
            <w:vAlign w:val="bottom"/>
            <w:gridSpan w:val="4"/>
          </w:tcPr>
          <w:p>
            <w:pPr>
              <w:ind w:left="220"/>
              <w:spacing w:after="0"/>
              <w:rPr>
                <w:sz w:val="20"/>
                <w:szCs w:val="20"/>
                <w:color w:val="auto"/>
              </w:rPr>
            </w:pPr>
            <w:r>
              <w:rPr>
                <w:rFonts w:ascii="Arial" w:cs="Arial" w:eastAsia="Arial" w:hAnsi="Arial"/>
                <w:sz w:val="18"/>
                <w:szCs w:val="18"/>
                <w:color w:val="auto"/>
              </w:rPr>
              <w:t>Total fixed-maturity securities</w:t>
            </w:r>
          </w:p>
        </w:tc>
        <w:tc>
          <w:tcPr>
            <w:tcW w:w="14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155,808,478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3,206,144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(814,168)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(120,344)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158,080,110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64</w:t>
            </w: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i w:val="1"/>
                <w:iCs w:val="1"/>
                <w:color w:val="0000EE"/>
                <w:w w:val="88"/>
              </w:rPr>
              <w:t>Table of Contents</w:t>
            </w:r>
          </w:p>
        </w:tc>
        <w:tc>
          <w:tcPr>
            <w:tcW w:w="29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Equity Securities</w:t>
            </w:r>
          </w:p>
        </w:tc>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240"/>
          </w:cols>
          <w:pgMar w:left="320" w:top="140" w:right="339" w:bottom="0" w:gutter="0" w:footer="0" w:header="0"/>
        </w:sectPr>
      </w:pPr>
    </w:p>
    <w:bookmarkStart w:id="42" w:name="page43"/>
    <w:bookmarkEnd w:id="42"/>
    <w:p>
      <w:pPr>
        <w:spacing w:after="0" w:line="6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a breakdown of the cost and estimated fair value of, and gross gains and losses on, investments in equity securities as of June 30, 2022 and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8"/>
              </w:rPr>
              <w:t>June 30,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Gains</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25"/>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18,430,554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175,745</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(3,347,910)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15,258,389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Common stocks and exchange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traded funds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11,808,966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392,745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(1,395,555)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10,806,156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w:t>
            </w:r>
          </w:p>
        </w:tc>
      </w:tr>
      <w:tr>
        <w:trPr>
          <w:trHeight w:val="20"/>
        </w:trPr>
        <w:tc>
          <w:tcPr>
            <w:tcW w:w="4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4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30,239,520</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568,490</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(4,743,465)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26,064,545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December 31, 2021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Estimated</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Gains</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26"/>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22,019,509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1,007,009</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(184,617)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22,841,901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Common stocks and exchange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traded funds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15,451,160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1,573,653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(179,712)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16,845,101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w:t>
            </w:r>
          </w:p>
        </w:tc>
      </w:tr>
      <w:tr>
        <w:trPr>
          <w:trHeight w:val="20"/>
        </w:trPr>
        <w:tc>
          <w:tcPr>
            <w:tcW w:w="4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37,470,669</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2,580,662</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(364,329)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39,687,002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breakdown of the cost and estimated fair value of, and gross gains on, our other investments as of June 30, 2022 and December 31, 2021:</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June 30, 2022</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8"/>
              </w:rPr>
              <w:t>December 31, 2021</w:t>
            </w:r>
          </w:p>
        </w:tc>
      </w:tr>
      <w:tr>
        <w:trPr>
          <w:trHeight w:val="191"/>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w w:val="92"/>
              </w:rPr>
              <w:t>Estimated</w:t>
            </w: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r>
      <w:tr>
        <w:trPr>
          <w:trHeight w:val="234"/>
        </w:trPr>
        <w:tc>
          <w:tcPr>
            <w:tcW w:w="346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Gains</w:t>
            </w:r>
          </w:p>
        </w:tc>
        <w:tc>
          <w:tcPr>
            <w:tcW w:w="840" w:type="dxa"/>
            <w:vAlign w:val="bottom"/>
          </w:tcPr>
          <w:p>
            <w:pPr>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7"/>
              </w:rPr>
              <w:t>Gains</w:t>
            </w:r>
          </w:p>
        </w:tc>
        <w:tc>
          <w:tcPr>
            <w:tcW w:w="18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r>
      <w:tr>
        <w:trPr>
          <w:trHeight w:val="425"/>
        </w:trPr>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Other Investments:</w:t>
            </w: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Hedge fund</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3,999,381</w:t>
            </w:r>
          </w:p>
        </w:tc>
        <w:tc>
          <w:tcPr>
            <w:tcW w:w="10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1,254,201</w:t>
            </w:r>
          </w:p>
        </w:tc>
        <w:tc>
          <w:tcPr>
            <w:tcW w:w="180" w:type="dxa"/>
            <w:vAlign w:val="bottom"/>
            <w:tcBorders>
              <w:right w:val="single" w:sz="8" w:color="CCEEFF"/>
            </w:tcBorders>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5,253,582</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3,999,381</w:t>
            </w:r>
          </w:p>
        </w:tc>
        <w:tc>
          <w:tcPr>
            <w:tcW w:w="10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3,562,034</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7,561,415</w:t>
            </w:r>
          </w:p>
        </w:tc>
        <w:tc>
          <w:tcPr>
            <w:tcW w:w="100" w:type="dxa"/>
            <w:vAlign w:val="bottom"/>
            <w:shd w:val="clear" w:color="auto" w:fill="CCEEFF"/>
          </w:tcPr>
          <w:p>
            <w:pPr>
              <w:spacing w:after="0"/>
              <w:rPr>
                <w:sz w:val="20"/>
                <w:szCs w:val="20"/>
                <w:color w:val="auto"/>
              </w:rPr>
            </w:pPr>
          </w:p>
        </w:tc>
      </w:tr>
      <w:tr>
        <w:trPr>
          <w:trHeight w:val="20"/>
        </w:trPr>
        <w:tc>
          <w:tcPr>
            <w:tcW w:w="3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Held-to-Maturity Securities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a breakdown of the amortized cost and estimated fair value of, and gross unrealized gains and losses on, investments in held-to-maturity securities as of June 30, 2022 and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 2022</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87"/>
              </w:rPr>
              <w:t>Gross Unrealized Losses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Cost or</w:t>
            </w:r>
          </w:p>
        </w:tc>
        <w:tc>
          <w:tcPr>
            <w:tcW w:w="160" w:type="dxa"/>
            <w:vAlign w:val="bottom"/>
          </w:tcPr>
          <w:p>
            <w:pPr>
              <w:spacing w:after="0"/>
              <w:rPr>
                <w:sz w:val="19"/>
                <w:szCs w:val="19"/>
                <w:color w:val="auto"/>
              </w:rPr>
            </w:pPr>
          </w:p>
        </w:tc>
        <w:tc>
          <w:tcPr>
            <w:tcW w:w="800" w:type="dxa"/>
            <w:vAlign w:val="bottom"/>
            <w:gridSpan w:val="2"/>
          </w:tcPr>
          <w:p>
            <w:pPr>
              <w:ind w:left="100"/>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Estimated</w:t>
            </w:r>
          </w:p>
        </w:tc>
        <w:tc>
          <w:tcPr>
            <w:tcW w:w="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Estimated</w:t>
            </w: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center"/>
              <w:ind w:left="52"/>
              <w:spacing w:after="0" w:line="191" w:lineRule="exact"/>
              <w:rPr>
                <w:sz w:val="20"/>
                <w:szCs w:val="20"/>
                <w:color w:val="auto"/>
              </w:rPr>
            </w:pPr>
            <w:r>
              <w:rPr>
                <w:rFonts w:ascii="Arial" w:cs="Arial" w:eastAsia="Arial" w:hAnsi="Arial"/>
                <w:sz w:val="18"/>
                <w:szCs w:val="18"/>
                <w:b w:val="1"/>
                <w:bCs w:val="1"/>
                <w:color w:val="auto"/>
                <w:w w:val="95"/>
              </w:rPr>
              <w:t>More than</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Amortized</w:t>
            </w:r>
          </w:p>
        </w:tc>
        <w:tc>
          <w:tcPr>
            <w:tcW w:w="96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Unrealized</w:t>
            </w:r>
          </w:p>
        </w:tc>
        <w:tc>
          <w:tcPr>
            <w:tcW w:w="140" w:type="dxa"/>
            <w:vAlign w:val="bottom"/>
          </w:tcPr>
          <w:p>
            <w:pPr>
              <w:spacing w:after="0"/>
              <w:rPr>
                <w:sz w:val="18"/>
                <w:szCs w:val="18"/>
                <w:color w:val="auto"/>
              </w:rPr>
            </w:pPr>
          </w:p>
        </w:tc>
        <w:tc>
          <w:tcPr>
            <w:tcW w:w="1140" w:type="dxa"/>
            <w:vAlign w:val="bottom"/>
            <w:gridSpan w:val="4"/>
          </w:tcPr>
          <w:p>
            <w:pPr>
              <w:ind w:left="20"/>
              <w:spacing w:after="0"/>
              <w:rPr>
                <w:sz w:val="20"/>
                <w:szCs w:val="20"/>
                <w:color w:val="auto"/>
              </w:rPr>
            </w:pPr>
            <w:r>
              <w:rPr>
                <w:rFonts w:ascii="Arial" w:cs="Arial" w:eastAsia="Arial" w:hAnsi="Arial"/>
                <w:sz w:val="18"/>
                <w:szCs w:val="18"/>
                <w:b w:val="1"/>
                <w:bCs w:val="1"/>
                <w:color w:val="auto"/>
                <w:w w:val="98"/>
              </w:rPr>
              <w:t>Less than 12</w:t>
            </w:r>
          </w:p>
        </w:tc>
        <w:tc>
          <w:tcPr>
            <w:tcW w:w="920" w:type="dxa"/>
            <w:vAlign w:val="bottom"/>
          </w:tcPr>
          <w:p>
            <w:pPr>
              <w:jc w:val="center"/>
              <w:ind w:left="132"/>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6"/>
              </w:rPr>
              <w:t>Fair</w:t>
            </w:r>
          </w:p>
        </w:tc>
        <w:tc>
          <w:tcPr>
            <w:tcW w:w="8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b w:val="1"/>
                <w:bCs w:val="1"/>
                <w:color w:val="auto"/>
              </w:rPr>
              <w:t>Gains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Months</w:t>
            </w:r>
          </w:p>
        </w:tc>
        <w:tc>
          <w:tcPr>
            <w:tcW w:w="920" w:type="dxa"/>
            <w:vAlign w:val="bottom"/>
          </w:tcPr>
          <w:p>
            <w:pPr>
              <w:jc w:val="center"/>
              <w:ind w:left="132"/>
              <w:spacing w:after="0"/>
              <w:rPr>
                <w:sz w:val="20"/>
                <w:szCs w:val="20"/>
                <w:color w:val="auto"/>
              </w:rPr>
            </w:pPr>
            <w:r>
              <w:rPr>
                <w:rFonts w:ascii="Arial" w:cs="Arial" w:eastAsia="Arial" w:hAnsi="Arial"/>
                <w:sz w:val="18"/>
                <w:szCs w:val="18"/>
                <w:b w:val="1"/>
                <w:bCs w:val="1"/>
                <w:color w:val="auto"/>
                <w:w w:val="90"/>
              </w:rPr>
              <w:t>Months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425"/>
        </w:trPr>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6"/>
              </w:rPr>
              <w:t>$ 1,228,410</w:t>
            </w:r>
          </w:p>
        </w:tc>
        <w:tc>
          <w:tcPr>
            <w:tcW w:w="16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86,141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(10,175)</w:t>
            </w:r>
          </w:p>
        </w:tc>
        <w:tc>
          <w:tcPr>
            <w:tcW w:w="92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1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$ 1,304,376</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Territories and Possessions</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498,378</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4,637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503,015</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Exchange traded debt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304,111</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(29,111)</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275,000</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5,737,319</w:t>
            </w: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39,429</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(945,603)</w:t>
            </w:r>
          </w:p>
        </w:tc>
        <w:tc>
          <w:tcPr>
            <w:tcW w:w="9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1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4,831,145</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w w:val="96"/>
              </w:rPr>
              <w:t>$ 7,768,218</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130,207</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(984,889)</w:t>
            </w:r>
          </w:p>
        </w:tc>
        <w:tc>
          <w:tcPr>
            <w:tcW w:w="920" w:type="dxa"/>
            <w:vAlign w:val="bottom"/>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$ 6,913,536</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2021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86"/>
              </w:rPr>
              <w:t>Gross Unrealized Losses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Cost or</w:t>
            </w:r>
          </w:p>
        </w:tc>
        <w:tc>
          <w:tcPr>
            <w:tcW w:w="160" w:type="dxa"/>
            <w:vAlign w:val="bottom"/>
          </w:tcPr>
          <w:p>
            <w:pPr>
              <w:spacing w:after="0"/>
              <w:rPr>
                <w:sz w:val="19"/>
                <w:szCs w:val="19"/>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ind w:left="80"/>
              <w:spacing w:after="0" w:line="191" w:lineRule="exact"/>
              <w:rPr>
                <w:sz w:val="20"/>
                <w:szCs w:val="20"/>
                <w:color w:val="auto"/>
              </w:rPr>
            </w:pPr>
            <w:r>
              <w:rPr>
                <w:rFonts w:ascii="Arial" w:cs="Arial" w:eastAsia="Arial" w:hAnsi="Arial"/>
                <w:sz w:val="18"/>
                <w:szCs w:val="18"/>
                <w:b w:val="1"/>
                <w:bCs w:val="1"/>
                <w:color w:val="auto"/>
                <w:w w:val="95"/>
              </w:rPr>
              <w:t>More than</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Amortized</w:t>
            </w:r>
          </w:p>
        </w:tc>
        <w:tc>
          <w:tcPr>
            <w:tcW w:w="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b w:val="1"/>
                <w:bCs w:val="1"/>
                <w:color w:val="auto"/>
              </w:rPr>
              <w:t>Less than 12</w:t>
            </w:r>
          </w:p>
        </w:tc>
        <w:tc>
          <w:tcPr>
            <w:tcW w:w="920" w:type="dxa"/>
            <w:vAlign w:val="bottom"/>
          </w:tcPr>
          <w:p>
            <w:pPr>
              <w:jc w:val="right"/>
              <w:ind w:right="252"/>
              <w:spacing w:after="0"/>
              <w:rPr>
                <w:sz w:val="20"/>
                <w:szCs w:val="20"/>
                <w:color w:val="auto"/>
              </w:rPr>
            </w:pPr>
            <w:r>
              <w:rPr>
                <w:rFonts w:ascii="Arial" w:cs="Arial" w:eastAsia="Arial" w:hAnsi="Arial"/>
                <w:sz w:val="18"/>
                <w:szCs w:val="18"/>
                <w:b w:val="1"/>
                <w:bCs w:val="1"/>
                <w:color w:val="auto"/>
              </w:rPr>
              <w:t>12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6"/>
              </w:rPr>
              <w:t>Fair</w:t>
            </w:r>
          </w:p>
        </w:tc>
        <w:tc>
          <w:tcPr>
            <w:tcW w:w="8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Gains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Months</w:t>
            </w:r>
          </w:p>
        </w:tc>
        <w:tc>
          <w:tcPr>
            <w:tcW w:w="220" w:type="dxa"/>
            <w:vAlign w:val="bottom"/>
            <w:gridSpan w:val="2"/>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Months</w:t>
            </w: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94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8"/>
              </w:rPr>
              <w:t>$  729,642</w:t>
            </w: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2"/>
              </w:rPr>
              <w:t>209,633</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tcBorders>
              <w:left w:val="single" w:sz="8" w:color="CCEEFF"/>
            </w:tcBorders>
            <w:shd w:val="clear" w:color="auto" w:fill="CCEEFF"/>
          </w:tcPr>
          <w:p>
            <w:pPr>
              <w:jc w:val="right"/>
              <w:ind w:right="752"/>
              <w:spacing w:after="0"/>
              <w:rPr>
                <w:sz w:val="20"/>
                <w:szCs w:val="20"/>
                <w:color w:val="auto"/>
              </w:rPr>
            </w:pPr>
            <w:r>
              <w:rPr>
                <w:rFonts w:ascii="Arial" w:cs="Arial" w:eastAsia="Arial" w:hAnsi="Arial"/>
                <w:sz w:val="15"/>
                <w:szCs w:val="15"/>
                <w:color w:val="auto"/>
                <w:w w:val="71"/>
              </w:rPr>
              <w:t>$</w:t>
            </w: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4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98"/>
              </w:rPr>
              <w:t>$  939,275</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Territories and Possessions</w:t>
            </w:r>
          </w:p>
        </w:tc>
        <w:tc>
          <w:tcPr>
            <w:tcW w:w="840" w:type="dxa"/>
            <w:vAlign w:val="bottom"/>
          </w:tcPr>
          <w:p>
            <w:pPr>
              <w:jc w:val="right"/>
              <w:spacing w:after="0"/>
              <w:rPr>
                <w:sz w:val="20"/>
                <w:szCs w:val="20"/>
                <w:color w:val="auto"/>
              </w:rPr>
            </w:pPr>
            <w:r>
              <w:rPr>
                <w:rFonts w:ascii="Arial" w:cs="Arial" w:eastAsia="Arial" w:hAnsi="Arial"/>
                <w:sz w:val="18"/>
                <w:szCs w:val="18"/>
                <w:color w:val="auto"/>
              </w:rPr>
              <w:t>998,239</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22,856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1,021,095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r>
      <w:tr>
        <w:trPr>
          <w:trHeight w:val="216"/>
        </w:trPr>
        <w:tc>
          <w:tcPr>
            <w:tcW w:w="4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Exchange traded debt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304,111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(13,921)</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290,275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4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Corporate and other bonds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6,234,342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280,951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(12,779)</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6,502,514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r>
      <w:tr>
        <w:trPr>
          <w:trHeight w:val="20"/>
        </w:trPr>
        <w:tc>
          <w:tcPr>
            <w:tcW w:w="46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$ 8,266,334</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513,525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(26,700)</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w w:val="96"/>
              </w:rPr>
              <w:t>$ 8,753,159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amortized cost and fair value of our investments in held-to-maturity securities by contractual maturity as of June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2021</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459,032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497,110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994,712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1,008,180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1,246,206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1,246,690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1,205,829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1,290,465</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1,519,749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1,370,950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1,513,942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1,648,808</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4,543,231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3,798,786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4,551,851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4,805,706</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7,768,218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6,913,536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8,266,334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8,753,159</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i w:val="1"/>
          <w:iCs w:val="1"/>
          <w:color w:val="auto"/>
        </w:rPr>
        <w:t>Credit Rating of Fixed-Maturity Securities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summarizes the credit quality of our available-for-sale fixed-maturity securities as of June 30, 2022 and December 31, 2021 as rated by Standard &amp; Poor’s (or, if unavailable from Standard &amp; Poor’s, then Moody’s, Fitch, or Kroll):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June 30, 2022</w:t>
            </w:r>
          </w:p>
        </w:tc>
        <w:tc>
          <w:tcPr>
            <w:tcW w:w="140" w:type="dxa"/>
            <w:vAlign w:val="bottom"/>
          </w:tcPr>
          <w:p>
            <w:pPr>
              <w:spacing w:after="0"/>
              <w:rPr>
                <w:sz w:val="20"/>
                <w:szCs w:val="20"/>
                <w:color w:val="auto"/>
              </w:rPr>
            </w:pPr>
          </w:p>
        </w:tc>
        <w:tc>
          <w:tcPr>
            <w:tcW w:w="246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Estimated</w:t>
            </w: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34"/>
        </w:trPr>
        <w:tc>
          <w:tcPr>
            <w:tcW w:w="128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Rating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and municipal bonds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AAA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2,471,838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1,321,809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11,076,880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11,532,572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34,119,838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38,272,571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BBB+</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16,901,741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17,936,359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BBB</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23,676,363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25,161,776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BBB-</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1,926,040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4,193,401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3"/>
          </w:tcPr>
          <w:p>
            <w:pPr>
              <w:ind w:left="340"/>
              <w:spacing w:after="0"/>
              <w:rPr>
                <w:sz w:val="20"/>
                <w:szCs w:val="20"/>
                <w:color w:val="auto"/>
              </w:rPr>
            </w:pPr>
            <w:r>
              <w:rPr>
                <w:rFonts w:ascii="Arial" w:cs="Arial" w:eastAsia="Arial" w:hAnsi="Arial"/>
                <w:sz w:val="18"/>
                <w:szCs w:val="18"/>
                <w:color w:val="auto"/>
              </w:rPr>
              <w:t>Total corporate and municipal bonds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90,172,700</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63.6%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98,418,488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w w:val="93"/>
              </w:rPr>
              <w:t>Residential mortgage backed, asset backed, and other collateralized obligations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AAA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18,165,288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17,350,192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AA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25,008,366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34,241,907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7,023,595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6,306,161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BBB</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21,608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24,254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CCC</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520,237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664,628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CC</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115,309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125,412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63,629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55,306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color w:val="auto"/>
              </w:rPr>
              <w:t>Non rated</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407,055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893,762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residential mortgage backed, asset backed,</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gridSpan w:val="3"/>
          </w:tcPr>
          <w:p>
            <w:pPr>
              <w:ind w:left="500"/>
              <w:spacing w:after="0"/>
              <w:rPr>
                <w:sz w:val="20"/>
                <w:szCs w:val="20"/>
                <w:color w:val="auto"/>
              </w:rPr>
            </w:pPr>
            <w:r>
              <w:rPr>
                <w:rFonts w:ascii="Arial" w:cs="Arial" w:eastAsia="Arial" w:hAnsi="Arial"/>
                <w:sz w:val="18"/>
                <w:szCs w:val="18"/>
                <w:color w:val="auto"/>
              </w:rPr>
              <w:t>and other collateralized obligations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51,325,087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59,661,622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ind w:left="1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141,497,787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99.9%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158,080,110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ind w:left="554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4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46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the average yield by type of fixed-maturity security as of June 30, 2022 and December 31, 2021:</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58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80" w:type="dxa"/>
            <w:vAlign w:val="bottom"/>
          </w:tcPr>
          <w:p>
            <w:pPr>
              <w:spacing w:after="0"/>
              <w:rPr>
                <w:sz w:val="20"/>
                <w:szCs w:val="20"/>
                <w:color w:val="auto"/>
              </w:rPr>
            </w:pPr>
          </w:p>
        </w:tc>
        <w:tc>
          <w:tcPr>
            <w:tcW w:w="1240" w:type="dxa"/>
            <w:vAlign w:val="bottom"/>
          </w:tcPr>
          <w:p>
            <w:pPr>
              <w:ind w:left="100"/>
              <w:spacing w:after="0"/>
              <w:rPr>
                <w:sz w:val="20"/>
                <w:szCs w:val="20"/>
                <w:color w:val="auto"/>
              </w:rPr>
            </w:pPr>
            <w:r>
              <w:rPr>
                <w:rFonts w:ascii="Arial" w:cs="Arial" w:eastAsia="Arial" w:hAnsi="Arial"/>
                <w:sz w:val="18"/>
                <w:szCs w:val="18"/>
                <w:b w:val="1"/>
                <w:bCs w:val="1"/>
                <w:color w:val="auto"/>
                <w:w w:val="95"/>
              </w:rPr>
              <w:t>June 30, 2022</w:t>
            </w:r>
          </w:p>
        </w:tc>
        <w:tc>
          <w:tcPr>
            <w:tcW w:w="14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24"/>
        </w:trPr>
        <w:tc>
          <w:tcPr>
            <w:tcW w:w="6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 Treasury securities and</w:t>
            </w:r>
          </w:p>
        </w:tc>
        <w:tc>
          <w:tcPr>
            <w:tcW w:w="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bl>
    <w:p>
      <w:pPr>
        <w:sectPr>
          <w:pgSz w:w="11900" w:h="16838" w:orient="portrait"/>
          <w:cols w:equalWidth="0" w:num="1">
            <w:col w:w="11240"/>
          </w:cols>
          <w:pgMar w:left="320" w:top="356" w:right="339" w:bottom="0" w:gutter="0" w:footer="0" w:header="0"/>
        </w:sectPr>
      </w:pPr>
    </w:p>
    <w:bookmarkStart w:id="44" w:name="page45"/>
    <w:bookmarkEnd w:id="44"/>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obligations of U.S. government</w:t>
            </w:r>
          </w:p>
        </w:tc>
        <w:tc>
          <w:tcPr>
            <w:tcW w:w="3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33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3.26%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3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Territories and Possessions</w:t>
            </w:r>
          </w:p>
        </w:tc>
        <w:tc>
          <w:tcPr>
            <w:tcW w:w="3360" w:type="dxa"/>
            <w:vAlign w:val="bottom"/>
          </w:tcPr>
          <w:p>
            <w:pPr>
              <w:jc w:val="right"/>
              <w:ind w:right="410"/>
              <w:spacing w:after="0"/>
              <w:rPr>
                <w:sz w:val="20"/>
                <w:szCs w:val="20"/>
                <w:color w:val="auto"/>
              </w:rPr>
            </w:pPr>
            <w:r>
              <w:rPr>
                <w:rFonts w:ascii="Arial" w:cs="Arial" w:eastAsia="Arial" w:hAnsi="Arial"/>
                <w:sz w:val="18"/>
                <w:szCs w:val="18"/>
                <w:color w:val="auto"/>
              </w:rPr>
              <w:t>3.35%</w:t>
            </w:r>
          </w:p>
        </w:tc>
        <w:tc>
          <w:tcPr>
            <w:tcW w:w="100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Corporate and other bonds</w:t>
            </w:r>
          </w:p>
        </w:tc>
        <w:tc>
          <w:tcPr>
            <w:tcW w:w="3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33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33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2.74%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3.16%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lists the weighted average maturity and effective duration in years on our fixed-maturity securities as of June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June 30, 2022</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effective maturity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final maturity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Effective duration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Consideration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June 30, 2022 and December 31, 2021, 62% of the investment portfolio recorded at fair value was priced based upon quoted market prices.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The table below summarizes the gross unrealized losses of our fixed-maturity securities available-for-sale and equity securities by length of time the security has continuously been in an unrealized loss position as of June 30, 2022 and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b w:val="1"/>
                <w:bCs w:val="1"/>
                <w:color w:val="auto"/>
              </w:rPr>
              <w:t>June 30, 2022</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Less than 12 months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12 months or more</w:t>
            </w:r>
          </w:p>
        </w:tc>
        <w:tc>
          <w:tcPr>
            <w:tcW w:w="1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rPr>
              <w:t>No. of</w:t>
            </w:r>
          </w:p>
        </w:tc>
        <w:tc>
          <w:tcPr>
            <w:tcW w:w="220" w:type="dxa"/>
            <w:vAlign w:val="bottom"/>
          </w:tcPr>
          <w:p>
            <w:pPr>
              <w:spacing w:after="0"/>
              <w:rPr>
                <w:sz w:val="16"/>
                <w:szCs w:val="16"/>
                <w:color w:val="auto"/>
              </w:rPr>
            </w:pPr>
          </w:p>
        </w:tc>
        <w:tc>
          <w:tcPr>
            <w:tcW w:w="106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Estimated</w:t>
            </w: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rPr>
              <w:t>No. of</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Fair</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6"/>
              </w:rPr>
              <w:t>Unrealized</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Positions</w:t>
            </w:r>
          </w:p>
        </w:tc>
        <w:tc>
          <w:tcPr>
            <w:tcW w:w="10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Positions</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8"/>
              </w:rPr>
              <w:t>Unrealized</w:t>
            </w:r>
          </w:p>
        </w:tc>
      </w:tr>
      <w:tr>
        <w:trPr>
          <w:trHeight w:val="234"/>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Losses</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Held</w:t>
            </w:r>
          </w:p>
        </w:tc>
        <w:tc>
          <w:tcPr>
            <w:tcW w:w="10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3"/>
              </w:rPr>
              <w:t>Losses</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Held</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Losses</w:t>
            </w:r>
          </w:p>
        </w:tc>
      </w:tr>
      <w:tr>
        <w:trPr>
          <w:trHeight w:val="411"/>
        </w:trPr>
        <w:tc>
          <w:tcPr>
            <w:tcW w:w="23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and obligations of U.S.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color w:val="auto"/>
              </w:rPr>
              <w:t>government corporations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agencies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States, Territories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14,197,788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(3,020,486)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14,197,788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(3,020,486)</w:t>
            </w:r>
          </w:p>
        </w:tc>
      </w:tr>
      <w:tr>
        <w:trPr>
          <w:trHeight w:val="216"/>
        </w:trPr>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bonds industrial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76,672,772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(6,562,506)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76,672,772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(6,562,506)</w:t>
            </w:r>
          </w:p>
        </w:tc>
      </w:tr>
      <w:tr>
        <w:trPr>
          <w:trHeight w:val="216"/>
        </w:trPr>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w w:val="98"/>
              </w:rPr>
              <w:t>other asset backed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45,843,567</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(5,387,294)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2,724,188</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(339,668)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48,567,755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(5,726,962)</w:t>
            </w:r>
          </w:p>
        </w:tc>
      </w:tr>
      <w:tr>
        <w:trPr>
          <w:trHeight w:val="210"/>
        </w:trPr>
        <w:tc>
          <w:tcPr>
            <w:tcW w:w="1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Total fixed-maturity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136,714,127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(14,970,286)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2,724,188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(339,668)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139,438,315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(15,309,954)</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5" w:lineRule="exact"/>
        <w:rPr>
          <w:sz w:val="20"/>
          <w:szCs w:val="20"/>
          <w:color w:val="auto"/>
        </w:rPr>
      </w:pPr>
    </w:p>
    <w:p>
      <w:pPr>
        <w:jc w:val="center"/>
        <w:ind w:left="2800"/>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17145</wp:posOffset>
            </wp:positionV>
            <wp:extent cx="52031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7" w:lineRule="exact"/>
        <w:rPr>
          <w:sz w:val="20"/>
          <w:szCs w:val="20"/>
          <w:color w:val="auto"/>
        </w:rPr>
      </w:pPr>
    </w:p>
    <w:p>
      <w:pPr>
        <w:ind w:left="3620"/>
        <w:spacing w:after="0"/>
        <w:tabs>
          <w:tab w:leader="none" w:pos="6780" w:val="left"/>
          <w:tab w:leader="none" w:pos="9940" w:val="left"/>
        </w:tabs>
        <w:rPr>
          <w:sz w:val="20"/>
          <w:szCs w:val="20"/>
          <w:color w:val="auto"/>
        </w:rPr>
      </w:pPr>
      <w:r>
        <w:rPr>
          <w:rFonts w:ascii="Arial" w:cs="Arial" w:eastAsia="Arial" w:hAnsi="Arial"/>
          <w:sz w:val="18"/>
          <w:szCs w:val="18"/>
          <w:b w:val="1"/>
          <w:bCs w:val="1"/>
          <w:color w:val="auto"/>
        </w:rPr>
        <w:t>Less than 12 months</w:t>
      </w:r>
      <w:r>
        <w:rPr>
          <w:sz w:val="20"/>
          <w:szCs w:val="20"/>
          <w:color w:val="auto"/>
        </w:rPr>
        <w:tab/>
      </w:r>
      <w:r>
        <w:rPr>
          <w:rFonts w:ascii="Arial" w:cs="Arial" w:eastAsia="Arial" w:hAnsi="Arial"/>
          <w:sz w:val="18"/>
          <w:szCs w:val="18"/>
          <w:b w:val="1"/>
          <w:bCs w:val="1"/>
          <w:color w:val="auto"/>
        </w:rPr>
        <w:t>12 months or more</w:t>
      </w:r>
      <w:r>
        <w:rPr>
          <w:sz w:val="20"/>
          <w:szCs w:val="20"/>
          <w:color w:val="auto"/>
        </w:rPr>
        <w:tab/>
      </w: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14605</wp:posOffset>
            </wp:positionV>
            <wp:extent cx="52031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Estimated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No. of</w:t>
            </w:r>
          </w:p>
        </w:tc>
        <w:tc>
          <w:tcPr>
            <w:tcW w:w="12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b w:val="1"/>
                <w:bCs w:val="1"/>
                <w:color w:val="auto"/>
              </w:rPr>
              <w:t>No. of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4"/>
          </w:tcPr>
          <w:p>
            <w:pPr>
              <w:ind w:left="120"/>
              <w:spacing w:after="0"/>
              <w:rPr>
                <w:sz w:val="20"/>
                <w:szCs w:val="20"/>
                <w:color w:val="auto"/>
              </w:rPr>
            </w:pPr>
            <w:r>
              <w:rPr>
                <w:rFonts w:ascii="Arial" w:cs="Arial" w:eastAsia="Arial" w:hAnsi="Arial"/>
                <w:sz w:val="18"/>
                <w:szCs w:val="18"/>
                <w:b w:val="1"/>
                <w:bCs w:val="1"/>
                <w:color w:val="auto"/>
              </w:rPr>
              <w:t>Unrealized</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Fair</w:t>
            </w:r>
          </w:p>
        </w:tc>
        <w:tc>
          <w:tcPr>
            <w:tcW w:w="11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Positions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3"/>
              </w:rPr>
              <w:t>Losses</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Held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3"/>
              </w:rPr>
              <w:t>Losses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Held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3"/>
              </w:rPr>
              <w:t>Losses</w:t>
            </w:r>
          </w:p>
        </w:tc>
      </w:tr>
      <w:tr>
        <w:trPr>
          <w:trHeight w:val="411"/>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and obligations of U.S.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government corporations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agencies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States, Territories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6,768,123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(197,984)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6,768,123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(197,984)</w:t>
            </w:r>
          </w:p>
        </w:tc>
      </w:tr>
      <w:tr>
        <w:trPr>
          <w:trHeight w:val="216"/>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bonds industrial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17,593,707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(126,926)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17,593,707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(126,926)</w:t>
            </w:r>
          </w:p>
        </w:tc>
      </w:tr>
      <w:tr>
        <w:trPr>
          <w:trHeight w:val="216"/>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other asset backed securities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45,399,451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(489,258)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2,923,182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(120,344)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48,322,633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(609,602)</w:t>
            </w:r>
          </w:p>
        </w:tc>
      </w:tr>
      <w:tr>
        <w:trPr>
          <w:trHeight w:val="210"/>
        </w:trPr>
        <w:tc>
          <w:tcPr>
            <w:tcW w:w="1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Total fixed-maturity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69,761,281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(814,168)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2,923,182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(120,344)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72,684,463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(934,512)</w:t>
            </w: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15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were 146 securities at June 30, 2022 that accounted for the gross unrealized loss of our fixed-maturity securities available-for-sale, none of which were deemed by us to be other than temporarily impaired. There were 48 securities at December 31, 2021 that accounted for the gross unrealized loss, none of which were deemed by us to be other than temporarily impaired. Significant factors influencing our determination that unrealized losses were temporary included credit quality considerations, the magnitude of the unrealized losses in relation to each security’s cost, the nature of the investment and interest rate environment factors, and management’s intent not to sell these securities and it being not more likely than not that we will be required to sell these investments before anticipated recovery of fair value to our cost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six months ended June 30, 2022, the primary source of cash flow for our holding company was the dividends received from KICO, subject to statutory restrictions. For the six months ended June 30, 2022, KICO paid dividends of $1,500,000 to us.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KICO is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KICO currently does not have any securities pledged to FHLBNY; as such, there were no borrowings under this facility during the six months ended June 30, 2022 and 2021. On August 10, 2022, KICO transferred and pledged ten FNMA bonds to the FHLBNY. As of August 8, 2022 the book value of these bonds is $15,144,568 and their fair value is $13,567,331. KICO will have a credit facility with respect to the transferred bonds and the maximum advance KICO will be able to receive is approximately $12,000,000</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19, 2017, we issued $30 million of our 5.50% Senior Unsecured Notes due December 30, 2022. As of June 30, 2022, invested assets and cash in our holding company was approximately $2,780,000. If the aforementioned sources of cash flow currently available are insufficient to cover our holding company debt service and other cash requirements, we will seek to obtain additional financing. See Notes 2 and 7 to our Condensed Consolidated Financial Statements included in this Quarterly Report for a discussion of our plans in this regard.</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flow and liquidity are categorized into three sources: (1) operating activities; (2) investing activities; and (3) financing activities, which are shown in the following table:</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Six months ended June 30,</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r>
    </w:tbl>
    <w:p>
      <w:pPr>
        <w:spacing w:after="0" w:line="18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Cash flows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6060440" cy="482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60440" cy="4826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46" w:name="page47"/>
    <w:bookmarkEnd w:id="46"/>
    <w:p>
      <w:pPr>
        <w:spacing w:after="0" w:line="2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$(13,716,630)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$ 14,364,315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980" w:type="dxa"/>
            <w:vAlign w:val="bottom"/>
          </w:tcPr>
          <w:p>
            <w:pPr>
              <w:jc w:val="right"/>
              <w:spacing w:after="0"/>
              <w:rPr>
                <w:sz w:val="20"/>
                <w:szCs w:val="20"/>
                <w:color w:val="auto"/>
              </w:rPr>
            </w:pPr>
            <w:r>
              <w:rPr>
                <w:rFonts w:ascii="Arial" w:cs="Arial" w:eastAsia="Arial" w:hAnsi="Arial"/>
                <w:sz w:val="18"/>
                <w:szCs w:val="18"/>
                <w:color w:val="auto"/>
              </w:rPr>
              <w:t>3,857,225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11,307,718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(1,231,065)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(2,076,028)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(11,090,470)</w:t>
            </w:r>
          </w:p>
        </w:tc>
        <w:tc>
          <w:tcPr>
            <w:tcW w:w="940" w:type="dxa"/>
            <w:vAlign w:val="bottom"/>
          </w:tcPr>
          <w:p>
            <w:pPr>
              <w:jc w:val="right"/>
              <w:spacing w:after="0"/>
              <w:rPr>
                <w:sz w:val="20"/>
                <w:szCs w:val="20"/>
                <w:color w:val="auto"/>
              </w:rPr>
            </w:pPr>
            <w:r>
              <w:rPr>
                <w:rFonts w:ascii="Arial" w:cs="Arial" w:eastAsia="Arial" w:hAnsi="Arial"/>
                <w:sz w:val="18"/>
                <w:szCs w:val="18"/>
                <w:color w:val="auto"/>
              </w:rPr>
              <w:t>23,596,005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24,290,598</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19,463,742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980" w:type="dxa"/>
            <w:vAlign w:val="bottom"/>
          </w:tcPr>
          <w:p>
            <w:pPr>
              <w:jc w:val="right"/>
              <w:spacing w:after="0"/>
              <w:rPr>
                <w:sz w:val="20"/>
                <w:szCs w:val="20"/>
                <w:color w:val="auto"/>
              </w:rPr>
            </w:pPr>
            <w:r>
              <w:rPr>
                <w:rFonts w:ascii="Arial" w:cs="Arial" w:eastAsia="Arial" w:hAnsi="Arial"/>
                <w:sz w:val="18"/>
                <w:szCs w:val="18"/>
                <w:color w:val="auto"/>
                <w:w w:val="89"/>
              </w:rPr>
              <w:t>$ 13,200,128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$ 43,059,747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Net cash used in operating activities was $13,717,000 in Six Months 2022 as compared to $14,364,000 provided by operating activities in Six Months 2021. The $28,081,000 decrease in cash flows provided by operating activities in Six Months 2022 was primarily the result of a decrease in cash arising from net fluctuations in operating assets and liabilities, partially offset by net loss (adjusted for non-cash items) of $5,394,000. The increase in cash used in operating activities is also attributable to the payment of $13,245,000 to reinsurers in Six Months 2022 pursuant to the inception of our quota share reinsurance treaty, effective December 31, 2021. In addition, the increase of reinsurance recoverables by $14,360,000 also contributed to the increase in cash used during Six Months 2022. The net fluctuations in assets and liabilities are related to operating activities of KICO as affected by growth or declines in its operations, payments on claims and other changes, which are described above.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investing activities was $3,857,000 in Six Months 2022 compared to $11,308,000 provided by investing activities in Six Months 2021. The $7,451,000 decrease in net cash provided by investing activities was the result of a $10,598,000 decrease in disposals of invested assets and a $345,000 increase in the acquisition of property and equipment in Six Months 2022.</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financing activities was $1,231,000 in Six Months 2022 compared to $2,076,000 used in Six Months 2021. The $845,000 decrease in net cash used in financing activities was attributable to the purchase of treasury stock of $1,040,000 in Six Months 2021 partially offset by an increase in withholding taxes paid on the vesting of restricted stock awards in Six Months 2022 compared to Six Months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Effective December 31, 2021, we entered into a quota share reinsurance treaty for our personal lines business, which primarily consists of homeowners’ and dwelling fire policies, covering the period from December 31, 2021 through January 1, 2023 (“2021/2023 Treaty”).</w:t>
      </w:r>
    </w:p>
    <w:p>
      <w:pPr>
        <w:spacing w:after="0" w:line="1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excess of loss and catastrophe reinsurance treaties expired on June 30, 2022 and we entered into new excess of loss and catastrophe reinsurance treaties effective July 1, 2022. Effective October 18, 2021, we entered into a stub catastrophe reinsurance treaty covering the period from October 18, 2021 through December 31, 2021. The treaty provides reinsurance coverage for catastrophe losses of $5,000,000 in excess of $5,000,000. Effective January 1, 2022, we entered into an underlying excess of loss reinsurance treaty covering the period from January 1, 2022 through January 1, 2023. The treaty provides 50% reinsurance coverage for losses of $400,000 in excess of $600,000. Losses from named storms are excluded from the treaty. Material terms for our reinsurance treaties in effect for the treaty years shown below are as follows: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3"/>
          </w:tcPr>
          <w:p>
            <w:pPr>
              <w:spacing w:after="0"/>
              <w:rPr>
                <w:sz w:val="20"/>
                <w:szCs w:val="20"/>
                <w:color w:val="auto"/>
              </w:rPr>
            </w:pPr>
            <w:r>
              <w:rPr>
                <w:rFonts w:ascii="Arial" w:cs="Arial" w:eastAsia="Arial" w:hAnsi="Arial"/>
                <w:sz w:val="18"/>
                <w:szCs w:val="18"/>
                <w:i w:val="1"/>
                <w:iCs w:val="1"/>
                <w:color w:val="0000EE"/>
              </w:rPr>
              <w:t>Table of Contents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0"/>
              </w:rPr>
              <w:t>Treaty Period</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2"/>
              </w:rPr>
              <w:t>January 2,</w:t>
            </w:r>
          </w:p>
        </w:tc>
        <w:tc>
          <w:tcPr>
            <w:tcW w:w="100" w:type="dxa"/>
            <w:vAlign w:val="bottom"/>
          </w:tcPr>
          <w:p>
            <w:pPr>
              <w:spacing w:after="0"/>
              <w:rPr>
                <w:sz w:val="18"/>
                <w:szCs w:val="18"/>
                <w:color w:val="auto"/>
              </w:rPr>
            </w:pPr>
          </w:p>
        </w:tc>
        <w:tc>
          <w:tcPr>
            <w:tcW w:w="26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(2021/2023 Treaty)</w:t>
            </w:r>
          </w:p>
        </w:tc>
        <w:tc>
          <w:tcPr>
            <w:tcW w:w="100" w:type="dxa"/>
            <w:vAlign w:val="bottom"/>
          </w:tcPr>
          <w:p>
            <w:pPr>
              <w:spacing w:after="0"/>
              <w:rPr>
                <w:sz w:val="18"/>
                <w:szCs w:val="18"/>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2"/>
              </w:rPr>
              <w:t>July 1,</w:t>
            </w:r>
          </w:p>
        </w:tc>
        <w:tc>
          <w:tcPr>
            <w:tcW w:w="122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July 1,</w:t>
            </w:r>
          </w:p>
        </w:tc>
        <w:tc>
          <w:tcPr>
            <w:tcW w:w="11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28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January 1,</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December 30,</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45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4620" w:type="dxa"/>
            <w:vAlign w:val="bottom"/>
            <w:gridSpan w:val="3"/>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Homeowners, dwelling fire and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160"/>
              <w:spacing w:after="0"/>
              <w:rPr>
                <w:sz w:val="20"/>
                <w:szCs w:val="20"/>
                <w:color w:val="auto"/>
              </w:rPr>
            </w:pPr>
            <w:r>
              <w:rPr>
                <w:rFonts w:ascii="Arial" w:cs="Arial" w:eastAsia="Arial" w:hAnsi="Arial"/>
                <w:sz w:val="18"/>
                <w:szCs w:val="18"/>
                <w:color w:val="auto"/>
              </w:rPr>
              <w:t>and canine legal liability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3"/>
          </w:tcPr>
          <w:p>
            <w:pPr>
              <w:ind w:left="20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Percent ceded (9)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None (8)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None (5)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None (5)</w:t>
            </w:r>
          </w:p>
        </w:tc>
        <w:tc>
          <w:tcPr>
            <w:tcW w:w="0" w:type="dxa"/>
            <w:vAlign w:val="bottom"/>
          </w:tcPr>
          <w:p>
            <w:pPr>
              <w:spacing w:after="0"/>
              <w:rPr>
                <w:sz w:val="1"/>
                <w:szCs w:val="1"/>
                <w:color w:val="auto"/>
              </w:rPr>
            </w:pPr>
          </w:p>
        </w:tc>
      </w:tr>
      <w:tr>
        <w:trPr>
          <w:trHeight w:val="216"/>
        </w:trPr>
        <w:tc>
          <w:tcPr>
            <w:tcW w:w="4620" w:type="dxa"/>
            <w:vAlign w:val="bottom"/>
            <w:gridSpan w:val="3"/>
          </w:tcPr>
          <w:p>
            <w:pPr>
              <w:ind w:left="200"/>
              <w:spacing w:after="0"/>
              <w:rPr>
                <w:sz w:val="20"/>
                <w:szCs w:val="20"/>
                <w:color w:val="auto"/>
              </w:rPr>
            </w:pPr>
            <w:r>
              <w:rPr>
                <w:rFonts w:ascii="Arial" w:cs="Arial" w:eastAsia="Arial" w:hAnsi="Arial"/>
                <w:sz w:val="18"/>
                <w:szCs w:val="18"/>
                <w:color w:val="auto"/>
              </w:rPr>
              <w:t>Risk retained on intial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$1,000,000 of losses (5) (7) (8) (9)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4620" w:type="dxa"/>
            <w:vAlign w:val="bottom"/>
            <w:gridSpan w:val="3"/>
          </w:tcPr>
          <w:p>
            <w:pPr>
              <w:ind w:left="200"/>
              <w:spacing w:after="0"/>
              <w:rPr>
                <w:sz w:val="20"/>
                <w:szCs w:val="20"/>
                <w:color w:val="auto"/>
              </w:rPr>
            </w:pPr>
            <w:r>
              <w:rPr>
                <w:rFonts w:ascii="Arial" w:cs="Arial" w:eastAsia="Arial" w:hAnsi="Arial"/>
                <w:sz w:val="18"/>
                <w:szCs w:val="18"/>
                <w:color w:val="auto"/>
              </w:rPr>
              <w:t>Losses per occurrence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subject to quota share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340"/>
              <w:spacing w:after="0"/>
              <w:rPr>
                <w:sz w:val="20"/>
                <w:szCs w:val="20"/>
                <w:color w:val="auto"/>
              </w:rPr>
            </w:pPr>
            <w:r>
              <w:rPr>
                <w:rFonts w:ascii="Arial" w:cs="Arial" w:eastAsia="Arial" w:hAnsi="Arial"/>
                <w:sz w:val="18"/>
                <w:szCs w:val="18"/>
                <w:color w:val="auto"/>
              </w:rPr>
              <w:t>reinsurance coverage</w:t>
            </w:r>
          </w:p>
        </w:tc>
        <w:tc>
          <w:tcPr>
            <w:tcW w:w="10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None (8)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None (5)</w:t>
            </w:r>
          </w:p>
        </w:tc>
        <w:tc>
          <w:tcPr>
            <w:tcW w:w="10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None (5)</w:t>
            </w:r>
          </w:p>
        </w:tc>
        <w:tc>
          <w:tcPr>
            <w:tcW w:w="0" w:type="dxa"/>
            <w:vAlign w:val="bottom"/>
          </w:tcPr>
          <w:p>
            <w:pPr>
              <w:spacing w:after="0"/>
              <w:rPr>
                <w:sz w:val="1"/>
                <w:szCs w:val="1"/>
                <w:color w:val="auto"/>
              </w:rPr>
            </w:pPr>
          </w:p>
        </w:tc>
      </w:tr>
      <w:tr>
        <w:trPr>
          <w:trHeight w:val="202"/>
        </w:trPr>
        <w:tc>
          <w:tcPr>
            <w:tcW w:w="4620" w:type="dxa"/>
            <w:vAlign w:val="bottom"/>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rPr>
              <w:t>Expiration date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January 1,</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January 1,</w:t>
            </w:r>
          </w:p>
        </w:tc>
        <w:tc>
          <w:tcPr>
            <w:tcW w:w="10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8"/>
                <w:szCs w:val="18"/>
                <w:color w:val="auto"/>
                <w:w w:val="99"/>
              </w:rPr>
              <w:t>NA (5)</w:t>
            </w: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center"/>
              <w:ind w:right="160"/>
              <w:spacing w:after="0"/>
              <w:rPr>
                <w:sz w:val="20"/>
                <w:szCs w:val="20"/>
                <w:color w:val="auto"/>
              </w:rPr>
            </w:pPr>
            <w:r>
              <w:rPr>
                <w:rFonts w:ascii="Arial" w:cs="Arial" w:eastAsia="Arial" w:hAnsi="Arial"/>
                <w:sz w:val="18"/>
                <w:szCs w:val="18"/>
                <w:color w:val="auto"/>
                <w:w w:val="99"/>
              </w:rPr>
              <w:t>NA (5)</w:t>
            </w:r>
          </w:p>
        </w:tc>
        <w:tc>
          <w:tcPr>
            <w:tcW w:w="0" w:type="dxa"/>
            <w:vAlign w:val="bottom"/>
          </w:tcPr>
          <w:p>
            <w:pPr>
              <w:spacing w:after="0"/>
              <w:rPr>
                <w:sz w:val="1"/>
                <w:szCs w:val="1"/>
                <w:color w:val="auto"/>
              </w:rPr>
            </w:pPr>
          </w:p>
        </w:tc>
      </w:tr>
      <w:tr>
        <w:trPr>
          <w:trHeight w:val="122"/>
        </w:trPr>
        <w:tc>
          <w:tcPr>
            <w:tcW w:w="1280" w:type="dxa"/>
            <w:vAlign w:val="bottom"/>
            <w:shd w:val="clear" w:color="auto" w:fill="CCEEFF"/>
          </w:tcPr>
          <w:p>
            <w:pPr>
              <w:spacing w:after="0"/>
              <w:rPr>
                <w:sz w:val="10"/>
                <w:szCs w:val="10"/>
                <w:color w:val="auto"/>
              </w:rPr>
            </w:pPr>
          </w:p>
        </w:tc>
        <w:tc>
          <w:tcPr>
            <w:tcW w:w="3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0"/>
                <w:szCs w:val="10"/>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0"/>
                <w:szCs w:val="10"/>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0"/>
                <w:szCs w:val="10"/>
                <w:color w:val="auto"/>
              </w:rPr>
            </w:pPr>
          </w:p>
        </w:tc>
        <w:tc>
          <w:tcPr>
            <w:tcW w:w="12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shd w:val="clear" w:color="auto" w:fill="CCEEFF"/>
          </w:tcPr>
          <w:p>
            <w:pPr>
              <w:spacing w:after="0"/>
              <w:rPr>
                <w:sz w:val="9"/>
                <w:szCs w:val="9"/>
                <w:color w:val="auto"/>
              </w:rPr>
            </w:pPr>
          </w:p>
        </w:tc>
        <w:tc>
          <w:tcPr>
            <w:tcW w:w="3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200"/>
              <w:spacing w:after="0"/>
              <w:rPr>
                <w:sz w:val="20"/>
                <w:szCs w:val="20"/>
                <w:color w:val="auto"/>
              </w:rPr>
            </w:pPr>
            <w:r>
              <w:rPr>
                <w:rFonts w:ascii="Arial" w:cs="Arial" w:eastAsia="Arial" w:hAnsi="Arial"/>
                <w:sz w:val="18"/>
                <w:szCs w:val="18"/>
                <w:color w:val="auto"/>
              </w:rPr>
              <w:t>Excess of loss coverage and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facultative facility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340"/>
              <w:spacing w:after="0"/>
              <w:rPr>
                <w:sz w:val="20"/>
                <w:szCs w:val="20"/>
                <w:color w:val="auto"/>
              </w:rPr>
            </w:pPr>
            <w:r>
              <w:rPr>
                <w:rFonts w:ascii="Arial" w:cs="Arial" w:eastAsia="Arial" w:hAnsi="Arial"/>
                <w:sz w:val="18"/>
                <w:szCs w:val="18"/>
                <w:color w:val="auto"/>
              </w:rPr>
              <w:t>coverage (1) (7)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8,400,000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8,400,000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28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in excess of</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in excess of</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in excess of</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in excess of</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in excess of</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28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reinsurance coverage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340"/>
              <w:spacing w:after="0"/>
              <w:rPr>
                <w:sz w:val="20"/>
                <w:szCs w:val="20"/>
                <w:color w:val="auto"/>
              </w:rPr>
            </w:pPr>
            <w:r>
              <w:rPr>
                <w:rFonts w:ascii="Arial" w:cs="Arial" w:eastAsia="Arial" w:hAnsi="Arial"/>
                <w:sz w:val="18"/>
                <w:szCs w:val="18"/>
                <w:color w:val="auto"/>
              </w:rPr>
              <w:t>per occurrence (5) (7) (8)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8,500,000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8,500,000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28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Losses per occurrence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340"/>
              <w:spacing w:after="0"/>
              <w:rPr>
                <w:sz w:val="20"/>
                <w:szCs w:val="20"/>
                <w:color w:val="auto"/>
              </w:rPr>
            </w:pPr>
            <w:r>
              <w:rPr>
                <w:rFonts w:ascii="Arial" w:cs="Arial" w:eastAsia="Arial" w:hAnsi="Arial"/>
                <w:sz w:val="18"/>
                <w:szCs w:val="18"/>
                <w:color w:val="auto"/>
              </w:rPr>
              <w:t>subject to reinsurance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coverage (5) (8)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9,000,000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4620" w:type="dxa"/>
            <w:vAlign w:val="bottom"/>
            <w:gridSpan w:val="3"/>
          </w:tcPr>
          <w:p>
            <w:pPr>
              <w:ind w:left="200"/>
              <w:spacing w:after="0"/>
              <w:rPr>
                <w:sz w:val="20"/>
                <w:szCs w:val="20"/>
                <w:color w:val="auto"/>
              </w:rPr>
            </w:pPr>
            <w:r>
              <w:rPr>
                <w:rFonts w:ascii="Arial" w:cs="Arial" w:eastAsia="Arial" w:hAnsi="Arial"/>
                <w:sz w:val="18"/>
                <w:szCs w:val="18"/>
                <w:color w:val="auto"/>
              </w:rPr>
              <w:t>Expiration date (8)</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June 30, 2023</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June 30, 2023</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June 30, 2022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June 30, 2022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June 30, 2021</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Catastrophe Reinsurance: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Initial loss subject to personal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340"/>
              <w:spacing w:after="0"/>
              <w:rPr>
                <w:sz w:val="20"/>
                <w:szCs w:val="20"/>
                <w:color w:val="auto"/>
              </w:rPr>
            </w:pPr>
            <w:r>
              <w:rPr>
                <w:rFonts w:ascii="Arial" w:cs="Arial" w:eastAsia="Arial" w:hAnsi="Arial"/>
                <w:sz w:val="18"/>
                <w:szCs w:val="18"/>
                <w:color w:val="auto"/>
              </w:rPr>
              <w:t>lines quota share treaty</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None (5)</w:t>
            </w:r>
          </w:p>
        </w:tc>
        <w:tc>
          <w:tcPr>
            <w:tcW w:w="10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None (5)</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Risk retained per catastrophe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64" w:orient="portrait"/>
          <w:cols w:equalWidth="0" w:num="1">
            <w:col w:w="11240"/>
          </w:cols>
          <w:pgMar w:left="320" w:top="140" w:right="339"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ind w:left="340"/>
              <w:spacing w:after="0"/>
              <w:rPr>
                <w:sz w:val="20"/>
                <w:szCs w:val="20"/>
                <w:color w:val="auto"/>
              </w:rPr>
            </w:pPr>
            <w:r>
              <w:rPr>
                <w:rFonts w:ascii="Arial" w:cs="Arial" w:eastAsia="Arial" w:hAnsi="Arial"/>
                <w:sz w:val="18"/>
                <w:szCs w:val="18"/>
                <w:color w:val="auto"/>
              </w:rPr>
              <w:t>occurrence (5) (8) (9) (10)</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10,000,000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7,400,000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7,400,000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10,000,000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10,000,000</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Catastrophe loss coverage</w:t>
            </w: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3500" w:type="dxa"/>
            <w:vAlign w:val="bottom"/>
          </w:tcPr>
          <w:p>
            <w:pPr>
              <w:ind w:left="340"/>
              <w:spacing w:after="0"/>
              <w:rPr>
                <w:sz w:val="20"/>
                <w:szCs w:val="20"/>
                <w:color w:val="auto"/>
              </w:rPr>
            </w:pPr>
            <w:r>
              <w:rPr>
                <w:rFonts w:ascii="Arial" w:cs="Arial" w:eastAsia="Arial" w:hAnsi="Arial"/>
                <w:sz w:val="18"/>
                <w:szCs w:val="18"/>
                <w:color w:val="auto"/>
              </w:rPr>
              <w:t>in excess of quota share</w:t>
            </w: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coverage (2) (5) (8)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335,000,000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335,000,000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490,000,000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490,000,000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475,000,000</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Catastrophe stub coverage for</w:t>
            </w: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period from October 18,</w:t>
            </w: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3500" w:type="dxa"/>
            <w:vAlign w:val="bottom"/>
          </w:tcPr>
          <w:p>
            <w:pPr>
              <w:ind w:left="340"/>
              <w:spacing w:after="0"/>
              <w:rPr>
                <w:sz w:val="20"/>
                <w:szCs w:val="20"/>
                <w:color w:val="auto"/>
              </w:rPr>
            </w:pPr>
            <w:r>
              <w:rPr>
                <w:rFonts w:ascii="Arial" w:cs="Arial" w:eastAsia="Arial" w:hAnsi="Arial"/>
                <w:sz w:val="18"/>
                <w:szCs w:val="18"/>
                <w:color w:val="auto"/>
              </w:rPr>
              <w:t>2021 through December 31,</w:t>
            </w: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2021 (6)</w:t>
            </w: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5,000,000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NA</w:t>
            </w:r>
          </w:p>
        </w:tc>
      </w:tr>
      <w:tr>
        <w:trPr>
          <w:trHeight w:val="216"/>
        </w:trPr>
        <w:tc>
          <w:tcPr>
            <w:tcW w:w="3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w w:val="92"/>
              </w:rPr>
              <w:t>in excess of</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5,000,000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Reinstatement premium</w:t>
            </w: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protection (3) (4)</w:t>
            </w: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Yes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Yes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Yes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Yes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Yes</w:t>
            </w:r>
          </w:p>
        </w:tc>
      </w:tr>
    </w:tbl>
    <w:p>
      <w:pPr>
        <w:spacing w:after="0" w:line="202" w:lineRule="exact"/>
        <w:rPr>
          <w:sz w:val="20"/>
          <w:szCs w:val="20"/>
          <w:color w:val="auto"/>
        </w:rPr>
      </w:pPr>
    </w:p>
    <w:p>
      <w:pPr>
        <w:ind w:left="460" w:right="68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personal lines, includes the addition of an automatic facultative facility allowing KICO to obtain homeowners single risk coverage up to $9,000,000 in total insured value, which covers direct losses from $3,500,000 to $9,000,000 through June 30, 2023.</w:t>
      </w:r>
    </w:p>
    <w:p>
      <w:pPr>
        <w:spacing w:after="0" w:line="146" w:lineRule="exact"/>
        <w:rPr>
          <w:rFonts w:ascii="Arial" w:cs="Arial" w:eastAsia="Arial" w:hAnsi="Arial"/>
          <w:sz w:val="17"/>
          <w:szCs w:val="17"/>
          <w:color w:val="auto"/>
        </w:rPr>
      </w:pPr>
    </w:p>
    <w:p>
      <w:pPr>
        <w:ind w:left="460" w:right="34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the period July 1, 2020 through June 30, 2021, reinstatement premium protection for $70,000,000 of catastrophe coverage in excess of</w:t>
      </w:r>
    </w:p>
    <w:p>
      <w:pPr>
        <w:spacing w:after="0" w:line="34" w:lineRule="exact"/>
        <w:rPr>
          <w:rFonts w:ascii="Arial" w:cs="Arial" w:eastAsia="Arial" w:hAnsi="Arial"/>
          <w:sz w:val="17"/>
          <w:szCs w:val="17"/>
          <w:color w:val="auto"/>
        </w:rPr>
      </w:pPr>
    </w:p>
    <w:p>
      <w:pPr>
        <w:ind w:left="460" w:right="520"/>
        <w:spacing w:after="0" w:line="260" w:lineRule="auto"/>
        <w:rPr>
          <w:rFonts w:ascii="Arial" w:cs="Arial" w:eastAsia="Arial" w:hAnsi="Arial"/>
          <w:sz w:val="17"/>
          <w:szCs w:val="17"/>
          <w:color w:val="auto"/>
        </w:rPr>
      </w:pPr>
      <w:r>
        <w:rPr>
          <w:rFonts w:ascii="Arial" w:cs="Arial" w:eastAsia="Arial" w:hAnsi="Arial"/>
          <w:sz w:val="18"/>
          <w:szCs w:val="18"/>
          <w:color w:val="auto"/>
        </w:rPr>
        <w:t>$10,000,000. For the period July 1, 2021 through June 30, 2022, reinstatement premium protection for $70,000,000 of catastrophe coverage in excess of $10,000,000.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460" w:right="88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period July 1, 2022 through June 30, 2023, reinstatement premium protection for $9,800,000 of catastrophe coverage in excess of $10,000,000.</w:t>
      </w:r>
    </w:p>
    <w:p>
      <w:pPr>
        <w:spacing w:after="0" w:line="170"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personal lines quota share (homeowners, dwelling fire and canine legal liability) expired on December 30, 2020; reinsurance coverage from December 31, 2020 through December 30, 2021 is only for excess of loss and catastrophe reinsurance.</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freeze and freeze related claims.</w:t>
      </w:r>
    </w:p>
    <w:p>
      <w:pPr>
        <w:spacing w:after="0" w:line="225" w:lineRule="exact"/>
        <w:rPr>
          <w:rFonts w:ascii="Arial" w:cs="Arial" w:eastAsia="Arial" w:hAnsi="Arial"/>
          <w:sz w:val="18"/>
          <w:szCs w:val="18"/>
          <w:color w:val="auto"/>
        </w:rPr>
      </w:pPr>
    </w:p>
    <w:p>
      <w:pPr>
        <w:ind w:left="460" w:right="160" w:hanging="452"/>
        <w:spacing w:after="0" w:line="34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the period January 1, 2022 through January 1, 2023, underlying excess of loss treaty provides 50% reinsurance coverage for losses of $400,000 in excess of $600,000. Reduces retention to $500,000 from $700,000 under the 2021/2023 Treaty. Excludes losses from named storms.</w:t>
      </w:r>
    </w:p>
    <w:p>
      <w:pPr>
        <w:spacing w:after="0" w:line="123" w:lineRule="exact"/>
        <w:rPr>
          <w:rFonts w:ascii="Arial" w:cs="Arial" w:eastAsia="Arial" w:hAnsi="Arial"/>
          <w:sz w:val="16"/>
          <w:szCs w:val="16"/>
          <w:color w:val="auto"/>
        </w:rPr>
      </w:pPr>
    </w:p>
    <w:p>
      <w:pPr>
        <w:ind w:left="460" w:right="60" w:hanging="452"/>
        <w:spacing w:after="0" w:line="34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Personal lines quota share (homeowners, dwelling fire and canine liability) and underlying excess of loss reinsurance will expire on January 1, 2023; reinsurance coverage in effect from January 2, 2023 through June 30, 2023 is only for excess of loss and catastrophe reinsurance treaties.</w:t>
      </w:r>
    </w:p>
    <w:p>
      <w:pPr>
        <w:spacing w:after="0" w:line="123"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2021/2023 Treaty, 4% of the 30% total of losses ceded under this treaty are excluded from a named catastrophe event.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1"/>
              </w:rPr>
              <w:t>Treaty Year</w:t>
            </w: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July 1, 2022</w:t>
            </w:r>
          </w:p>
        </w:tc>
        <w:tc>
          <w:tcPr>
            <w:tcW w:w="80" w:type="dxa"/>
            <w:vAlign w:val="bottom"/>
          </w:tcPr>
          <w:p>
            <w:pPr>
              <w:spacing w:after="0"/>
              <w:rPr>
                <w:sz w:val="16"/>
                <w:szCs w:val="16"/>
                <w:color w:val="auto"/>
              </w:rPr>
            </w:pPr>
          </w:p>
        </w:tc>
        <w:tc>
          <w:tcPr>
            <w:tcW w:w="13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July 1, 2021</w:t>
            </w:r>
          </w:p>
        </w:tc>
        <w:tc>
          <w:tcPr>
            <w:tcW w:w="80" w:type="dxa"/>
            <w:vAlign w:val="bottom"/>
          </w:tcPr>
          <w:p>
            <w:pPr>
              <w:spacing w:after="0"/>
              <w:rPr>
                <w:sz w:val="16"/>
                <w:szCs w:val="16"/>
                <w:color w:val="auto"/>
              </w:rPr>
            </w:pPr>
          </w:p>
        </w:tc>
        <w:tc>
          <w:tcPr>
            <w:tcW w:w="102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July 1, 2020</w:t>
            </w:r>
          </w:p>
        </w:tc>
        <w:tc>
          <w:tcPr>
            <w:tcW w:w="160" w:type="dxa"/>
            <w:vAlign w:val="bottom"/>
          </w:tcPr>
          <w:p>
            <w:pPr>
              <w:spacing w:after="0"/>
              <w:rPr>
                <w:sz w:val="16"/>
                <w:szCs w:val="16"/>
                <w:color w:val="auto"/>
              </w:rPr>
            </w:pP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w:t>
            </w:r>
          </w:p>
        </w:tc>
      </w:tr>
      <w:tr>
        <w:trPr>
          <w:trHeight w:val="234"/>
        </w:trPr>
        <w:tc>
          <w:tcPr>
            <w:tcW w:w="7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Line of Business</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2023</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2022</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June 30, 2021</w:t>
            </w:r>
          </w:p>
        </w:tc>
        <w:tc>
          <w:tcPr>
            <w:tcW w:w="160" w:type="dxa"/>
            <w:vAlign w:val="bottom"/>
          </w:tcPr>
          <w:p>
            <w:pPr>
              <w:spacing w:after="0"/>
              <w:rPr>
                <w:sz w:val="20"/>
                <w:szCs w:val="20"/>
                <w:color w:val="auto"/>
              </w:rPr>
            </w:pPr>
          </w:p>
        </w:tc>
      </w:tr>
      <w:tr>
        <w:trPr>
          <w:trHeight w:val="411"/>
        </w:trPr>
        <w:tc>
          <w:tcPr>
            <w:tcW w:w="7220" w:type="dxa"/>
            <w:vAlign w:val="bottom"/>
            <w:gridSpan w:val="2"/>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7220" w:type="dxa"/>
            <w:vAlign w:val="bottom"/>
            <w:gridSpan w:val="2"/>
          </w:tcPr>
          <w:p>
            <w:pPr>
              <w:ind w:left="60"/>
              <w:spacing w:after="0"/>
              <w:rPr>
                <w:sz w:val="20"/>
                <w:szCs w:val="20"/>
                <w:color w:val="auto"/>
              </w:rPr>
            </w:pPr>
            <w:r>
              <w:rPr>
                <w:rFonts w:ascii="Arial" w:cs="Arial" w:eastAsia="Arial" w:hAnsi="Arial"/>
                <w:sz w:val="18"/>
                <w:szCs w:val="18"/>
                <w:color w:val="auto"/>
              </w:rPr>
              <w:t>Personal Umbrella</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7220" w:type="dxa"/>
            <w:vAlign w:val="bottom"/>
            <w:gridSpan w:val="2"/>
          </w:tcPr>
          <w:p>
            <w:pPr>
              <w:ind w:left="2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7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Percent ceded - first $1,000,000 of coverage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7220" w:type="dxa"/>
            <w:vAlign w:val="bottom"/>
            <w:gridSpan w:val="2"/>
          </w:tcPr>
          <w:p>
            <w:pPr>
              <w:ind w:left="540"/>
              <w:spacing w:after="0"/>
              <w:rPr>
                <w:sz w:val="20"/>
                <w:szCs w:val="20"/>
                <w:color w:val="auto"/>
              </w:rPr>
            </w:pPr>
            <w:r>
              <w:rPr>
                <w:rFonts w:ascii="Arial" w:cs="Arial" w:eastAsia="Arial" w:hAnsi="Arial"/>
                <w:sz w:val="18"/>
                <w:szCs w:val="18"/>
                <w:color w:val="auto"/>
              </w:rPr>
              <w:t>Percent ceded - excess of $1,000,000 dollars of coverage</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216"/>
        </w:trPr>
        <w:tc>
          <w:tcPr>
            <w:tcW w:w="7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Risk retained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r>
      <w:tr>
        <w:trPr>
          <w:trHeight w:val="216"/>
        </w:trPr>
        <w:tc>
          <w:tcPr>
            <w:tcW w:w="7220" w:type="dxa"/>
            <w:vAlign w:val="bottom"/>
            <w:gridSpan w:val="2"/>
          </w:tcPr>
          <w:p>
            <w:pPr>
              <w:ind w:left="540"/>
              <w:spacing w:after="0"/>
              <w:rPr>
                <w:sz w:val="20"/>
                <w:szCs w:val="20"/>
                <w:color w:val="auto"/>
              </w:rPr>
            </w:pPr>
            <w:r>
              <w:rPr>
                <w:rFonts w:ascii="Arial" w:cs="Arial" w:eastAsia="Arial" w:hAnsi="Arial"/>
                <w:sz w:val="18"/>
                <w:szCs w:val="18"/>
                <w:color w:val="auto"/>
              </w:rPr>
              <w:t>Total reinsurance coverage per occurrence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4,700,000</w:t>
            </w:r>
          </w:p>
        </w:tc>
      </w:tr>
      <w:tr>
        <w:trPr>
          <w:trHeight w:val="216"/>
        </w:trPr>
        <w:tc>
          <w:tcPr>
            <w:tcW w:w="7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r>
      <w:tr>
        <w:trPr>
          <w:trHeight w:val="216"/>
        </w:trPr>
        <w:tc>
          <w:tcPr>
            <w:tcW w:w="7220" w:type="dxa"/>
            <w:vAlign w:val="bottom"/>
            <w:gridSpan w:val="2"/>
          </w:tcPr>
          <w:p>
            <w:pPr>
              <w:ind w:left="220"/>
              <w:spacing w:after="0"/>
              <w:rPr>
                <w:sz w:val="20"/>
                <w:szCs w:val="20"/>
                <w:color w:val="auto"/>
              </w:rPr>
            </w:pPr>
            <w:r>
              <w:rPr>
                <w:rFonts w:ascii="Arial" w:cs="Arial" w:eastAsia="Arial" w:hAnsi="Arial"/>
                <w:sz w:val="18"/>
                <w:szCs w:val="18"/>
                <w:color w:val="auto"/>
              </w:rPr>
              <w:t>Expiration date</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June 30, 2023</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June 30, 2022</w:t>
            </w: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June 30, 2021</w:t>
            </w:r>
          </w:p>
        </w:tc>
      </w:tr>
      <w:tr>
        <w:trPr>
          <w:trHeight w:val="216"/>
        </w:trPr>
        <w:tc>
          <w:tcPr>
            <w:tcW w:w="7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Commercial Lines (1):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General liability commercial policies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gridSpan w:val="2"/>
          </w:tcPr>
          <w:p>
            <w:pPr>
              <w:ind w:left="2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r>
        <w:trPr>
          <w:trHeight w:val="216"/>
        </w:trPr>
        <w:tc>
          <w:tcPr>
            <w:tcW w:w="7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Risk retained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750,000</w:t>
            </w:r>
          </w:p>
        </w:tc>
      </w:tr>
      <w:tr>
        <w:trPr>
          <w:trHeight w:val="216"/>
        </w:trPr>
        <w:tc>
          <w:tcPr>
            <w:tcW w:w="7220" w:type="dxa"/>
            <w:vAlign w:val="bottom"/>
            <w:gridSpan w:val="2"/>
          </w:tcPr>
          <w:p>
            <w:pPr>
              <w:ind w:left="220"/>
              <w:spacing w:after="0"/>
              <w:rPr>
                <w:sz w:val="20"/>
                <w:szCs w:val="20"/>
                <w:color w:val="auto"/>
              </w:rPr>
            </w:pPr>
            <w:r>
              <w:rPr>
                <w:rFonts w:ascii="Arial" w:cs="Arial" w:eastAsia="Arial" w:hAnsi="Arial"/>
                <w:sz w:val="18"/>
                <w:szCs w:val="18"/>
                <w:color w:val="auto"/>
              </w:rPr>
              <w:t>Excess of loss coverage above risk retained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3,750,000</w:t>
            </w:r>
          </w:p>
        </w:tc>
      </w:tr>
      <w:tr>
        <w:trPr>
          <w:trHeight w:val="216"/>
        </w:trPr>
        <w:tc>
          <w:tcPr>
            <w:tcW w:w="7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in excess of</w:t>
            </w: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750,000</w:t>
            </w:r>
          </w:p>
        </w:tc>
      </w:tr>
      <w:tr>
        <w:trPr>
          <w:trHeight w:val="216"/>
        </w:trPr>
        <w:tc>
          <w:tcPr>
            <w:tcW w:w="7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reinsurance coverage per occurrence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3,750,000</w:t>
            </w:r>
          </w:p>
        </w:tc>
      </w:tr>
      <w:tr>
        <w:trPr>
          <w:trHeight w:val="216"/>
        </w:trPr>
        <w:tc>
          <w:tcPr>
            <w:tcW w:w="7220" w:type="dxa"/>
            <w:vAlign w:val="bottom"/>
            <w:gridSpan w:val="2"/>
          </w:tcPr>
          <w:p>
            <w:pPr>
              <w:ind w:left="220"/>
              <w:spacing w:after="0"/>
              <w:rPr>
                <w:sz w:val="20"/>
                <w:szCs w:val="20"/>
                <w:color w:val="auto"/>
              </w:rPr>
            </w:pPr>
            <w:r>
              <w:rPr>
                <w:rFonts w:ascii="Arial" w:cs="Arial" w:eastAsia="Arial" w:hAnsi="Arial"/>
                <w:sz w:val="18"/>
                <w:szCs w:val="18"/>
                <w:color w:val="auto"/>
              </w:rPr>
              <w:t>Losses per occurrence subject to reinsurance coverage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4,500,000</w:t>
            </w:r>
          </w:p>
        </w:tc>
      </w:tr>
      <w:tr>
        <w:trPr>
          <w:trHeight w:val="216"/>
        </w:trPr>
        <w:tc>
          <w:tcPr>
            <w:tcW w:w="7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gridSpan w:val="2"/>
          </w:tcPr>
          <w:p>
            <w:pPr>
              <w:ind w:left="60"/>
              <w:spacing w:after="0"/>
              <w:rPr>
                <w:sz w:val="20"/>
                <w:szCs w:val="20"/>
                <w:color w:val="auto"/>
              </w:rPr>
            </w:pPr>
            <w:r>
              <w:rPr>
                <w:rFonts w:ascii="Arial" w:cs="Arial" w:eastAsia="Arial" w:hAnsi="Arial"/>
                <w:sz w:val="18"/>
                <w:szCs w:val="18"/>
                <w:color w:val="auto"/>
              </w:rPr>
              <w:t>Commercial Umbrella</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Quota share treaty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20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Coverage on all commercial lines policies expired in September 2020; reinsurance coverage is based on treaties in effect on the date of loss.</w:t>
      </w:r>
    </w:p>
    <w:p>
      <w:pPr>
        <w:sectPr>
          <w:pgSz w:w="11900" w:h="16838" w:orient="portrait"/>
          <w:cols w:equalWidth="0" w:num="1">
            <w:col w:w="11240"/>
          </w:cols>
          <w:pgMar w:left="320" w:top="125" w:right="339" w:bottom="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171" w:lineRule="exact"/>
        <w:rPr>
          <w:sz w:val="20"/>
          <w:szCs w:val="20"/>
          <w:color w:val="auto"/>
        </w:rPr>
      </w:pPr>
    </w:p>
    <w:p>
      <w:pPr>
        <w:jc w:val="both"/>
        <w:ind w:firstLine="731"/>
        <w:spacing w:after="0" w:line="277" w:lineRule="auto"/>
        <w:rPr>
          <w:sz w:val="20"/>
          <w:szCs w:val="20"/>
          <w:color w:val="auto"/>
        </w:rPr>
      </w:pPr>
      <w:r>
        <w:rPr>
          <w:rFonts w:ascii="Arial" w:cs="Arial" w:eastAsia="Arial" w:hAnsi="Arial"/>
          <w:sz w:val="18"/>
          <w:szCs w:val="18"/>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170" w:lineRule="exact"/>
        <w:rPr>
          <w:sz w:val="20"/>
          <w:szCs w:val="20"/>
          <w:color w:val="auto"/>
        </w:rPr>
      </w:pPr>
    </w:p>
    <w:p>
      <w:pPr>
        <w:jc w:val="both"/>
        <w:ind w:firstLine="607"/>
        <w:spacing w:after="0" w:line="279" w:lineRule="auto"/>
        <w:rPr>
          <w:sz w:val="20"/>
          <w:szCs w:val="20"/>
          <w:color w:val="auto"/>
        </w:rPr>
      </w:pPr>
      <w:r>
        <w:rPr>
          <w:rFonts w:ascii="Arial" w:cs="Arial" w:eastAsia="Arial" w:hAnsi="Arial"/>
          <w:sz w:val="17"/>
          <w:szCs w:val="17"/>
          <w:color w:val="auto"/>
        </w:rPr>
        <w:t>Six Months 2022 included elevated economic inflation, which resulted in a significant increase in interest rates, a widening of credit spreads, lower public equity valuations, and significant financial market volatility. The higher interest rates and widening of credit spreads reduced the value of our fixed income securities, which lowered our stockholders’ equity materially for Six Months 2022. The higher economic inflation impacted our loss and loss adjustment expenses as well; should these trends continue in the near-term, it would in all likelihood negatively impact our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976"/>
        <w:spacing w:after="0" w:line="342"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753"/>
        <w:spacing w:after="0" w:line="271" w:lineRule="auto"/>
        <w:rPr>
          <w:sz w:val="20"/>
          <w:szCs w:val="20"/>
          <w:color w:val="auto"/>
        </w:rPr>
      </w:pPr>
      <w:r>
        <w:rPr>
          <w:rFonts w:ascii="Arial" w:cs="Arial" w:eastAsia="Arial" w:hAnsi="Arial"/>
          <w:sz w:val="17"/>
          <w:szCs w:val="17"/>
          <w:color w:val="auto"/>
        </w:rPr>
        <w:t>The COVID-19 pandemic caused significant financial market volatility, economic uncertainty, and interruptions to normal business activities. As of the date of this report, we expect the effect of the COVID-19 pandemic on claims currently under our coverages to be manageable, based on the information presently available. However, the effects of the COVID-19 pandemic, including the emergence of variant strains, continue to evolve and we cannot predict the extent to which our business, results of operations, financial condition, liquidity, capital position, the value of investments we hold in our investment portfolio, premiums and the demand for our products and our ability to collect premiums or requirement to return premiums to our policyholders will ultimately be impacted. For additional information on the risks posed by COVID-19, see “The impact of COVID-19 and related risks could materially affect our results of operations, financial position and/or liquidity” included in Part I, Item 1A— “Risk Factors” in our Annual Report on Form 10-K for the year ended December 31, 2021, filed with the SEC.</w:t>
      </w:r>
    </w:p>
    <w:p>
      <w:pPr>
        <w:spacing w:after="0" w:line="178" w:lineRule="exact"/>
        <w:rPr>
          <w:sz w:val="20"/>
          <w:szCs w:val="20"/>
          <w:color w:val="auto"/>
        </w:rPr>
      </w:pPr>
    </w:p>
    <w:p>
      <w:pPr>
        <w:jc w:val="both"/>
        <w:ind w:firstLine="886"/>
        <w:spacing w:after="0" w:line="270" w:lineRule="auto"/>
        <w:rPr>
          <w:sz w:val="20"/>
          <w:szCs w:val="20"/>
          <w:color w:val="auto"/>
        </w:rPr>
      </w:pPr>
      <w:r>
        <w:rPr>
          <w:rFonts w:ascii="Arial" w:cs="Arial" w:eastAsia="Arial" w:hAnsi="Arial"/>
          <w:sz w:val="17"/>
          <w:szCs w:val="17"/>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As a result of COVID-19, economic conditions in the United States rapidly deteriorated. The decreased levels of economic activity have negatively impacted, and may continue to negatively impact, premium volumes generated by new business. We began to experience this impact in March 2020 and it became more significant in the second and third quarters of 2020. While we are now seeing a reversal of this impact, it may resume in the future, but the degree of any new impact will depend on the extent and duration of any economic contraction and could be material. We have also made underwriting changes to emphasize profitability over growth and have culled out the type of risks that do not generate an acceptable level of return. This action has led, and may continue to lead, to a slowdown in premium growth, particularly in new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applicable to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Principal Financial Officer, as appropriate, to allow timely decisions regarding required disclosures. Based on this evaluation, our Chief Executive Officer and Principal Financial Officer have concluded that, as of June 30, 2022, our disclosure controls and procedures were: (i) effective in recording, processing, summarizing, and reporting information on a timely basis that we are required to disclose in the reports that we file or submit under the Exchange Act, and (ii) effective in ensuring that information that we are required to disclose in the reports that we file or submit under the Exchange Act is accumulated and communicated to our management, including our Chief Executive Officer and Principal Financial Officer, as appropriate, to allow timely decisions regarding required disclosure.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required by Exchange Act Rule 13a-15(b), as of the end of the period covered by this Quarterly Report, under the supervision and with the participation of our Chief Executive Officer and Principal Financial Officer, we evaluated the effectiveness of our disclosure controls and procedures. Based on this evaluation, our Chief Executive Officer and Principal Financial Officer concluded that our disclosure controls and procedures were effective as of June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ectPr>
          <w:pgSz w:w="11900" w:h="16838" w:orient="portrait"/>
          <w:cols w:equalWidth="0" w:num="1">
            <w:col w:w="11240"/>
          </w:cols>
          <w:pgMar w:left="320" w:top="341" w:right="339" w:bottom="0" w:gutter="0" w:footer="0" w:header="0"/>
        </w:sectPr>
      </w:pPr>
    </w:p>
    <w:bookmarkStart w:id="49" w:name="page50"/>
    <w:bookmarkEnd w:id="49"/>
    <w:p>
      <w:pPr>
        <w:jc w:val="both"/>
        <w:ind w:firstLine="648"/>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Effectiveness of Controls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Internal control over financial reporting is a process designed by, or under the supervision of, our Chief Executive Officer and Principal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w:t>
      </w:r>
    </w:p>
    <w:p>
      <w:pPr>
        <w:spacing w:after="0" w:line="2" w:lineRule="exact"/>
        <w:rPr>
          <w:sz w:val="20"/>
          <w:szCs w:val="20"/>
          <w:color w:val="auto"/>
        </w:rPr>
      </w:pPr>
    </w:p>
    <w:p>
      <w:pPr>
        <w:jc w:val="both"/>
        <w:ind w:firstLine="8"/>
        <w:spacing w:after="0" w:line="295" w:lineRule="auto"/>
        <w:tabs>
          <w:tab w:leader="none" w:pos="2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1" w:lineRule="exact"/>
        <w:rPr>
          <w:sz w:val="20"/>
          <w:szCs w:val="20"/>
          <w:color w:val="auto"/>
        </w:rPr>
      </w:pPr>
    </w:p>
    <w:p>
      <w:pPr>
        <w:jc w:val="both"/>
        <w:ind w:firstLine="874"/>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r>
        <w:rPr>
          <w:rFonts w:ascii="Arial" w:cs="Arial" w:eastAsia="Arial" w:hAnsi="Arial"/>
          <w:sz w:val="18"/>
          <w:szCs w:val="18"/>
          <w:color w:val="auto"/>
        </w:rPr>
        <w:t>.</w:t>
      </w:r>
    </w:p>
    <w:p>
      <w:pPr>
        <w:spacing w:after="0" w:line="229" w:lineRule="exact"/>
        <w:rPr>
          <w:sz w:val="20"/>
          <w:szCs w:val="20"/>
          <w:color w:val="auto"/>
        </w:rPr>
      </w:pPr>
    </w:p>
    <w:p>
      <w:pPr>
        <w:jc w:val="center"/>
        <w:ind w:right="9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For a discussion of the Company’s potential risks and uncertainties, see Part I, Item 1A— “Risk Factors” and Part II, Item 7— “Management’s Discussion and Analysis of Financial Condition and Results of Operations” in the Company’s 2021 Annual Report filed with the SEC, and Part I, Item 2 —“Management’s Discussion and Analysis of Financial Condition and Results of Operations” herein, in each case as updated by the Company's periodic filings with the SEC. Except as discussed under Part I, Item 2 – “Management’s Discussion and Analysis of Financial Condition and Results of Operations</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Preliminary Non-binding Indication of Interest” herein, there have been no material changes to the risk factors disclosed in Part I, Item 1A of the Company’s 2021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r>
        <w:rPr>
          <w:rFonts w:ascii="Arial" w:cs="Arial" w:eastAsia="Arial" w:hAnsi="Arial"/>
          <w:sz w:val="18"/>
          <w:szCs w:val="18"/>
          <w:color w:val="auto"/>
        </w:rPr>
        <w:t>.</w:t>
      </w:r>
    </w:p>
    <w:p>
      <w:pPr>
        <w:spacing w:after="0" w:line="229" w:lineRule="exact"/>
        <w:rPr>
          <w:sz w:val="20"/>
          <w:szCs w:val="20"/>
          <w:color w:val="auto"/>
        </w:rPr>
      </w:pPr>
    </w:p>
    <w:p>
      <w:pPr>
        <w:ind w:left="920" w:hanging="467"/>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u w:val="single" w:color="auto"/>
          <w:color w:val="auto"/>
        </w:rPr>
        <w:t>Mine Safety Disclosures</w:t>
      </w:r>
      <w:r>
        <w:rPr>
          <w:rFonts w:ascii="Arial" w:cs="Arial" w:eastAsia="Arial" w:hAnsi="Arial"/>
          <w:sz w:val="16"/>
          <w:szCs w:val="16"/>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87"/>
              </w:rPr>
            </w:pPr>
            <w:hyperlink r:id="rId97">
              <w:r>
                <w:rPr>
                  <w:rFonts w:ascii="Arial" w:cs="Arial" w:eastAsia="Arial" w:hAnsi="Arial"/>
                  <w:sz w:val="18"/>
                  <w:szCs w:val="18"/>
                  <w:color w:val="0000EE"/>
                  <w:w w:val="87"/>
                </w:rPr>
                <w:t>3(a)</w:t>
              </w:r>
            </w:hyperlink>
          </w:p>
        </w:tc>
        <w:tc>
          <w:tcPr>
            <w:tcW w:w="700" w:type="dxa"/>
            <w:vAlign w:val="bottom"/>
            <w:tcBorders>
              <w:bottom w:val="single" w:sz="8" w:color="CCEEFF"/>
            </w:tcBorders>
            <w:gridSpan w:val="3"/>
            <w:shd w:val="clear" w:color="auto" w:fill="CCEEFF"/>
          </w:tcPr>
          <w:p>
            <w:pPr>
              <w:spacing w:after="0"/>
              <w:rPr>
                <w:sz w:val="18"/>
                <w:szCs w:val="18"/>
                <w:color w:val="auto"/>
              </w:rPr>
            </w:pPr>
          </w:p>
        </w:tc>
        <w:tc>
          <w:tcPr>
            <w:tcW w:w="1016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Restated Certificate of Incorporation, as amended (incorporated by reference to Exhibit 3(a) to the Company’s Quarterly Report on Form 10-</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40" w:type="dxa"/>
            <w:vAlign w:val="bottom"/>
            <w:gridSpan w:val="8"/>
            <w:shd w:val="clear" w:color="auto" w:fill="CCEEFF"/>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Q for the period ended March 31, 2014 filed on May 15, 2014).</w:t>
              </w:r>
            </w:hyperlink>
          </w:p>
        </w:tc>
      </w:tr>
      <w:tr>
        <w:trPr>
          <w:trHeight w:val="216"/>
        </w:trPr>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5"/>
            <w:shd w:val="clear" w:color="auto" w:fill="CCEEFF"/>
          </w:tcPr>
          <w:p>
            <w:pPr>
              <w:spacing w:after="0" w:line="176" w:lineRule="exact"/>
              <w:rPr>
                <w:rFonts w:ascii="Arial" w:cs="Arial" w:eastAsia="Arial" w:hAnsi="Arial"/>
                <w:sz w:val="18"/>
                <w:szCs w:val="18"/>
                <w:color w:val="0000EE"/>
              </w:rPr>
            </w:pPr>
            <w:hyperlink r:id="rId98">
              <w:r>
                <w:rPr>
                  <w:rFonts w:ascii="Arial" w:cs="Arial" w:eastAsia="Arial" w:hAnsi="Arial"/>
                  <w:sz w:val="18"/>
                  <w:szCs w:val="18"/>
                  <w:color w:val="0000EE"/>
                </w:rPr>
                <w:t>3(b)</w:t>
              </w:r>
            </w:hyperlink>
          </w:p>
        </w:tc>
        <w:tc>
          <w:tcPr>
            <w:tcW w:w="10240" w:type="dxa"/>
            <w:vAlign w:val="bottom"/>
            <w:gridSpan w:val="8"/>
            <w:shd w:val="clear" w:color="auto" w:fill="CCEEFF"/>
          </w:tcPr>
          <w:p>
            <w:pPr>
              <w:spacing w:after="0" w:line="176" w:lineRule="exact"/>
              <w:rPr>
                <w:rFonts w:ascii="Arial" w:cs="Arial" w:eastAsia="Arial" w:hAnsi="Arial"/>
                <w:sz w:val="18"/>
                <w:szCs w:val="18"/>
                <w:color w:val="0000EE"/>
                <w:w w:val="93"/>
              </w:rPr>
            </w:pPr>
            <w:hyperlink r:id="rId98">
              <w:r>
                <w:rPr>
                  <w:rFonts w:ascii="Arial" w:cs="Arial" w:eastAsia="Arial" w:hAnsi="Arial"/>
                  <w:sz w:val="18"/>
                  <w:szCs w:val="18"/>
                  <w:color w:val="0000EE"/>
                  <w:w w:val="93"/>
                </w:rPr>
                <w:t>By-laws, as amended (incorporated by reference to Exhibit 3.1 to the Company’s Current Report on Form 8-K filed on November 9, 2009).</w:t>
              </w:r>
            </w:hyperlink>
          </w:p>
        </w:tc>
      </w:tr>
      <w:tr>
        <w:trPr>
          <w:trHeight w:val="216"/>
        </w:trPr>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5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31(a)</w:t>
            </w:r>
          </w:p>
        </w:tc>
        <w:tc>
          <w:tcPr>
            <w:tcW w:w="102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w w:val="94"/>
              </w:rPr>
              <w:t>Rule 13a-14(a)/15d-14(a) Certification of Chief Executive Officer as adopted pursuant to Section 302 of the Sarbanes-Oxley Act of 2002</w:t>
            </w:r>
          </w:p>
        </w:tc>
      </w:tr>
      <w:tr>
        <w:trPr>
          <w:trHeight w:val="216"/>
        </w:trPr>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53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0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31(b)</w:t>
            </w:r>
          </w:p>
        </w:tc>
        <w:tc>
          <w:tcPr>
            <w:tcW w:w="102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w w:val="92"/>
              </w:rPr>
              <w:t>Rule 13a-14(a)/15d-14(a) Certification of Principal Financial Officer as adopted pursuant to Section 302 of the Sarbanes-Oxley Act of 2002</w:t>
            </w:r>
          </w:p>
        </w:tc>
      </w:tr>
      <w:tr>
        <w:trPr>
          <w:trHeight w:val="216"/>
        </w:trPr>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5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w w:val="91"/>
              </w:rPr>
              <w:t>32+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w w:val="92"/>
              </w:rPr>
              <w:t>Certification of Chief Executive Officer and Principal Financial Officer Pursuant to 18 U.S.C. Section 1350, as Adopted Pursuant to Section</w:t>
            </w:r>
          </w:p>
        </w:tc>
      </w:tr>
      <w:tr>
        <w:trPr>
          <w:trHeight w:val="196"/>
        </w:trPr>
        <w:tc>
          <w:tcPr>
            <w:tcW w:w="2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tcBorders>
            <w:gridSpan w:val="6"/>
            <w:shd w:val="clear" w:color="auto" w:fill="CCEEFF"/>
          </w:tcPr>
          <w:p>
            <w:pPr>
              <w:spacing w:after="0" w:line="196" w:lineRule="exact"/>
              <w:rPr>
                <w:sz w:val="20"/>
                <w:szCs w:val="20"/>
                <w:color w:val="auto"/>
              </w:rPr>
            </w:pPr>
            <w:r>
              <w:rPr>
                <w:rFonts w:ascii="Arial" w:cs="Arial" w:eastAsia="Arial" w:hAnsi="Arial"/>
                <w:sz w:val="18"/>
                <w:szCs w:val="18"/>
                <w:color w:val="0000EE"/>
              </w:rPr>
              <w:t>906 of the Sarbanes-Oxley Act of 2002</w:t>
            </w:r>
          </w:p>
        </w:tc>
        <w:tc>
          <w:tcPr>
            <w:tcW w:w="140" w:type="dxa"/>
            <w:vAlign w:val="bottom"/>
            <w:tcBorders>
              <w:top w:val="single" w:sz="8" w:color="CCEEFF"/>
            </w:tcBorders>
            <w:gridSpan w:val="2"/>
            <w:shd w:val="clear" w:color="auto" w:fill="CCEEFF"/>
          </w:tcPr>
          <w:p>
            <w:pPr>
              <w:spacing w:after="0"/>
              <w:rPr>
                <w:sz w:val="17"/>
                <w:szCs w:val="17"/>
                <w:color w:val="auto"/>
              </w:rPr>
            </w:pPr>
          </w:p>
        </w:tc>
      </w:tr>
      <w:tr>
        <w:trPr>
          <w:trHeight w:val="20"/>
        </w:trPr>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101.INS</w:t>
            </w: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XBRL Instance Document</w:t>
            </w:r>
          </w:p>
        </w:tc>
      </w:tr>
      <w:tr>
        <w:trPr>
          <w:trHeight w:val="216"/>
        </w:trPr>
        <w:tc>
          <w:tcPr>
            <w:tcW w:w="840" w:type="dxa"/>
            <w:vAlign w:val="bottom"/>
          </w:tcPr>
          <w:p>
            <w:pPr>
              <w:spacing w:after="0"/>
              <w:rPr>
                <w:sz w:val="18"/>
                <w:szCs w:val="18"/>
                <w:color w:val="auto"/>
              </w:rPr>
            </w:pPr>
          </w:p>
        </w:tc>
        <w:tc>
          <w:tcPr>
            <w:tcW w:w="10400" w:type="dxa"/>
            <w:vAlign w:val="bottom"/>
          </w:tcPr>
          <w:p>
            <w:pPr>
              <w:spacing w:after="0"/>
              <w:rPr>
                <w:sz w:val="18"/>
                <w:szCs w:val="18"/>
                <w:color w:val="auto"/>
              </w:rPr>
            </w:pPr>
          </w:p>
        </w:tc>
      </w:tr>
      <w:tr>
        <w:trPr>
          <w:trHeight w:val="216"/>
        </w:trPr>
        <w:tc>
          <w:tcPr>
            <w:tcW w:w="8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101.SCH</w:t>
            </w: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101.SCH XBRL Taxonomy Extension Schema.</w:t>
            </w:r>
          </w:p>
        </w:tc>
      </w:tr>
      <w:tr>
        <w:trPr>
          <w:trHeight w:val="216"/>
        </w:trPr>
        <w:tc>
          <w:tcPr>
            <w:tcW w:w="840" w:type="dxa"/>
            <w:vAlign w:val="bottom"/>
          </w:tcPr>
          <w:p>
            <w:pPr>
              <w:spacing w:after="0"/>
              <w:rPr>
                <w:sz w:val="18"/>
                <w:szCs w:val="18"/>
                <w:color w:val="auto"/>
              </w:rPr>
            </w:pPr>
          </w:p>
        </w:tc>
        <w:tc>
          <w:tcPr>
            <w:tcW w:w="10400" w:type="dxa"/>
            <w:vAlign w:val="bottom"/>
          </w:tcPr>
          <w:p>
            <w:pPr>
              <w:spacing w:after="0"/>
              <w:rPr>
                <w:sz w:val="18"/>
                <w:szCs w:val="18"/>
                <w:color w:val="auto"/>
              </w:rPr>
            </w:pPr>
          </w:p>
        </w:tc>
      </w:tr>
      <w:tr>
        <w:trPr>
          <w:trHeight w:val="216"/>
        </w:trPr>
        <w:tc>
          <w:tcPr>
            <w:tcW w:w="8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7"/>
              </w:rPr>
              <w:t>101.CAL</w:t>
            </w: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101.CAL XBRL Taxonomy Extension Calculation Linkbase.</w:t>
            </w:r>
          </w:p>
        </w:tc>
      </w:tr>
      <w:tr>
        <w:trPr>
          <w:trHeight w:val="216"/>
        </w:trPr>
        <w:tc>
          <w:tcPr>
            <w:tcW w:w="840" w:type="dxa"/>
            <w:vAlign w:val="bottom"/>
          </w:tcPr>
          <w:p>
            <w:pPr>
              <w:spacing w:after="0"/>
              <w:rPr>
                <w:sz w:val="18"/>
                <w:szCs w:val="18"/>
                <w:color w:val="auto"/>
              </w:rPr>
            </w:pPr>
          </w:p>
        </w:tc>
        <w:tc>
          <w:tcPr>
            <w:tcW w:w="10400" w:type="dxa"/>
            <w:vAlign w:val="bottom"/>
          </w:tcPr>
          <w:p>
            <w:pPr>
              <w:spacing w:after="0"/>
              <w:rPr>
                <w:sz w:val="18"/>
                <w:szCs w:val="18"/>
                <w:color w:val="auto"/>
              </w:rPr>
            </w:pPr>
          </w:p>
        </w:tc>
      </w:tr>
      <w:tr>
        <w:trPr>
          <w:trHeight w:val="216"/>
        </w:trPr>
        <w:tc>
          <w:tcPr>
            <w:tcW w:w="8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101.DEF</w:t>
            </w: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101.DEF XBRL Taxonomy Extension Definition Linkbase.</w:t>
            </w:r>
          </w:p>
        </w:tc>
      </w:tr>
      <w:tr>
        <w:trPr>
          <w:trHeight w:val="216"/>
        </w:trPr>
        <w:tc>
          <w:tcPr>
            <w:tcW w:w="840" w:type="dxa"/>
            <w:vAlign w:val="bottom"/>
          </w:tcPr>
          <w:p>
            <w:pPr>
              <w:spacing w:after="0"/>
              <w:rPr>
                <w:sz w:val="18"/>
                <w:szCs w:val="18"/>
                <w:color w:val="auto"/>
              </w:rPr>
            </w:pPr>
          </w:p>
        </w:tc>
        <w:tc>
          <w:tcPr>
            <w:tcW w:w="10400" w:type="dxa"/>
            <w:vAlign w:val="bottom"/>
          </w:tcPr>
          <w:p>
            <w:pPr>
              <w:spacing w:after="0"/>
              <w:rPr>
                <w:sz w:val="18"/>
                <w:szCs w:val="18"/>
                <w:color w:val="auto"/>
              </w:rPr>
            </w:pPr>
          </w:p>
        </w:tc>
      </w:tr>
      <w:tr>
        <w:trPr>
          <w:trHeight w:val="216"/>
        </w:trPr>
        <w:tc>
          <w:tcPr>
            <w:tcW w:w="8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8"/>
              </w:rPr>
              <w:t>101.LAB</w:t>
            </w: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101.LAB XBRL Taxonomy Extension Label Linkbase.</w:t>
            </w:r>
          </w:p>
        </w:tc>
      </w:tr>
      <w:tr>
        <w:trPr>
          <w:trHeight w:val="216"/>
        </w:trPr>
        <w:tc>
          <w:tcPr>
            <w:tcW w:w="840" w:type="dxa"/>
            <w:vAlign w:val="bottom"/>
          </w:tcPr>
          <w:p>
            <w:pPr>
              <w:spacing w:after="0"/>
              <w:rPr>
                <w:sz w:val="18"/>
                <w:szCs w:val="18"/>
                <w:color w:val="auto"/>
              </w:rPr>
            </w:pPr>
          </w:p>
        </w:tc>
        <w:tc>
          <w:tcPr>
            <w:tcW w:w="10400" w:type="dxa"/>
            <w:vAlign w:val="bottom"/>
          </w:tcPr>
          <w:p>
            <w:pPr>
              <w:spacing w:after="0"/>
              <w:rPr>
                <w:sz w:val="18"/>
                <w:szCs w:val="18"/>
                <w:color w:val="auto"/>
              </w:rPr>
            </w:pPr>
          </w:p>
        </w:tc>
      </w:tr>
      <w:tr>
        <w:trPr>
          <w:trHeight w:val="216"/>
        </w:trPr>
        <w:tc>
          <w:tcPr>
            <w:tcW w:w="8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1"/>
              </w:rPr>
              <w:t>101.PRE</w:t>
            </w: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101.PRE XBRL Taxonomy Extension Presentation Linkbase.</w:t>
            </w:r>
          </w:p>
        </w:tc>
      </w:tr>
    </w:tbl>
    <w:p>
      <w:pPr>
        <w:spacing w:after="0" w:line="202" w:lineRule="exact"/>
        <w:rPr>
          <w:sz w:val="20"/>
          <w:szCs w:val="20"/>
          <w:color w:val="auto"/>
        </w:rPr>
      </w:pPr>
    </w:p>
    <w:p>
      <w:pPr>
        <w:jc w:val="both"/>
        <w:ind w:left="1000" w:right="120" w:hanging="992"/>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11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6260" w:type="dxa"/>
            <w:vAlign w:val="bottom"/>
            <w:gridSpan w:val="2"/>
          </w:tcPr>
          <w:p>
            <w:pPr>
              <w:ind w:left="2000"/>
              <w:spacing w:after="0"/>
              <w:rPr>
                <w:sz w:val="20"/>
                <w:szCs w:val="20"/>
                <w:color w:val="auto"/>
              </w:rPr>
            </w:pPr>
            <w:r>
              <w:rPr>
                <w:rFonts w:ascii="Arial" w:cs="Arial" w:eastAsia="Arial" w:hAnsi="Arial"/>
                <w:sz w:val="18"/>
                <w:szCs w:val="18"/>
                <w:b w:val="1"/>
                <w:bCs w:val="1"/>
                <w:color w:val="auto"/>
              </w:rPr>
              <w:t>KINGSTONE COMPANIES, INC.</w:t>
            </w:r>
          </w:p>
        </w:tc>
        <w:tc>
          <w:tcPr>
            <w:tcW w:w="1340" w:type="dxa"/>
            <w:vAlign w:val="bottom"/>
          </w:tcPr>
          <w:p>
            <w:pPr>
              <w:spacing w:after="0"/>
              <w:rPr>
                <w:sz w:val="20"/>
                <w:szCs w:val="20"/>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Dated: August 15, 2022</w:t>
            </w:r>
          </w:p>
        </w:tc>
        <w:tc>
          <w:tcPr>
            <w:tcW w:w="6260" w:type="dxa"/>
            <w:vAlign w:val="bottom"/>
            <w:gridSpan w:val="2"/>
          </w:tcPr>
          <w:p>
            <w:pPr>
              <w:ind w:left="2000"/>
              <w:spacing w:after="0"/>
              <w:rPr>
                <w:sz w:val="20"/>
                <w:szCs w:val="20"/>
                <w:color w:val="auto"/>
              </w:rPr>
            </w:pPr>
            <w:r>
              <w:rPr>
                <w:rFonts w:ascii="Arial" w:cs="Arial" w:eastAsia="Arial" w:hAnsi="Arial"/>
                <w:sz w:val="18"/>
                <w:szCs w:val="18"/>
                <w:color w:val="auto"/>
              </w:rPr>
              <w:t>By: /s/ Barry B. Goldstein</w:t>
            </w:r>
          </w:p>
        </w:tc>
        <w:tc>
          <w:tcPr>
            <w:tcW w:w="134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Barry B. Goldstein</w:t>
            </w:r>
          </w:p>
        </w:tc>
        <w:tc>
          <w:tcPr>
            <w:tcW w:w="134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340" w:type="dxa"/>
            <w:vAlign w:val="bottom"/>
          </w:tcPr>
          <w:p>
            <w:pPr>
              <w:spacing w:after="0"/>
              <w:rPr>
                <w:sz w:val="20"/>
                <w:szCs w:val="20"/>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Dated: August 15, 2022</w:t>
            </w:r>
          </w:p>
        </w:tc>
        <w:tc>
          <w:tcPr>
            <w:tcW w:w="6260" w:type="dxa"/>
            <w:vAlign w:val="bottom"/>
            <w:gridSpan w:val="2"/>
          </w:tcPr>
          <w:p>
            <w:pPr>
              <w:ind w:left="2000"/>
              <w:spacing w:after="0"/>
              <w:rPr>
                <w:sz w:val="20"/>
                <w:szCs w:val="20"/>
                <w:color w:val="auto"/>
              </w:rPr>
            </w:pPr>
            <w:r>
              <w:rPr>
                <w:rFonts w:ascii="Arial" w:cs="Arial" w:eastAsia="Arial" w:hAnsi="Arial"/>
                <w:sz w:val="18"/>
                <w:szCs w:val="18"/>
                <w:color w:val="auto"/>
              </w:rPr>
              <w:t>By: /s/ Richard Swartz</w:t>
            </w:r>
          </w:p>
        </w:tc>
        <w:tc>
          <w:tcPr>
            <w:tcW w:w="134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Swartz</w:t>
            </w:r>
          </w:p>
        </w:tc>
        <w:tc>
          <w:tcPr>
            <w:tcW w:w="134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340" w:type="dxa"/>
            <w:vAlign w:val="bottom"/>
          </w:tcPr>
          <w:p>
            <w:pPr>
              <w:spacing w:after="0"/>
              <w:rPr>
                <w:sz w:val="20"/>
                <w:szCs w:val="20"/>
                <w:color w:val="auto"/>
              </w:rPr>
            </w:pPr>
          </w:p>
        </w:tc>
      </w:tr>
      <w:tr>
        <w:trPr>
          <w:trHeight w:val="648"/>
        </w:trPr>
        <w:tc>
          <w:tcPr>
            <w:tcW w:w="36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79</w:t>
            </w:r>
          </w:p>
        </w:tc>
        <w:tc>
          <w:tcPr>
            <w:tcW w:w="3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6"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Barry B. Goldstein, certify that:</w:t>
      </w:r>
    </w:p>
    <w:p>
      <w:pPr>
        <w:spacing w:after="0" w:line="22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Barry B. Goldstein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Swartz, certify that:</w:t>
      </w:r>
    </w:p>
    <w:p>
      <w:pPr>
        <w:spacing w:after="0" w:line="22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Richard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25031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Richard Swartz</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undersigned hereby certify, pursuant to, and as required by, 18 U.S.C. Section 1350, as adopted pursuant to Section 906 of the Sarbanes-Oxley Act of 2002, that the Quarterly Report of Kingstone Companies, Inc. (the “Company”) on Form 10-Q for the period ended June 30, 2022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Dated: August 15, 2022</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B. Goldstein</w:t>
            </w:r>
          </w:p>
        </w:tc>
      </w:tr>
      <w:tr>
        <w:trPr>
          <w:trHeight w:val="195"/>
        </w:trPr>
        <w:tc>
          <w:tcPr>
            <w:tcW w:w="596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Barry B. Goldstein</w:t>
            </w:r>
          </w:p>
        </w:tc>
      </w:tr>
      <w:tr>
        <w:trPr>
          <w:trHeight w:val="230"/>
        </w:trPr>
        <w:tc>
          <w:tcPr>
            <w:tcW w:w="59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96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Swartz</w:t>
            </w:r>
          </w:p>
        </w:tc>
      </w:tr>
      <w:tr>
        <w:trPr>
          <w:trHeight w:val="195"/>
        </w:trPr>
        <w:tc>
          <w:tcPr>
            <w:tcW w:w="596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Richard Swartz</w:t>
            </w:r>
          </w:p>
        </w:tc>
      </w:tr>
      <w:tr>
        <w:trPr>
          <w:trHeight w:val="230"/>
        </w:trPr>
        <w:tc>
          <w:tcPr>
            <w:tcW w:w="59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5"/>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upperLetter"/>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4"/>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lowerRoman"/>
      <w:start w:val="1"/>
    </w:lvl>
  </w:abstractNum>
  <w:abstractNum w:abstractNumId="16">
    <w:nsid w:val="7C83E458"/>
    <w:multiLevelType w:val="hybridMultilevel"/>
    <w:lvl w:ilvl="0">
      <w:lvlJc w:val="left"/>
      <w:lvlText w:val="\endash "/>
      <w:numFmt w:val="bullet"/>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97" Type="http://schemas.openxmlformats.org/officeDocument/2006/relationships/hyperlink" Target="http://www.sec.gov/Archives/edgar/data/33992/000135448814002619/kins_ex3a.htm" TargetMode="External"/><Relationship Id="rId98" Type="http://schemas.openxmlformats.org/officeDocument/2006/relationships/hyperlink" Target="http://www.sec.gov/Archives/edgar/data/33992/000102177109000069/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2022-08-15T15:38:55Z</dcterms:created>
  <dcterms:modified xsi:type="dcterms:W3CDTF">2022-08-15T15:38:55Z</dcterms:modified>
</cp:coreProperties>
</file>