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20" w:right="1680" w:hanging="3812"/>
        <w:spacing w:after="0" w:line="493" w:lineRule="auto"/>
        <w:tabs>
          <w:tab w:leader="none" w:pos="4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40" w:right="1660" w:hanging="3532"/>
        <w:spacing w:after="0" w:line="500" w:lineRule="auto"/>
        <w:tabs>
          <w:tab w:leader="none" w:pos="46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0-1665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24130</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326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Delaware</w:t>
            </w:r>
          </w:p>
        </w:tc>
        <w:tc>
          <w:tcPr>
            <w:tcW w:w="6300" w:type="dxa"/>
            <w:vAlign w:val="bottom"/>
            <w:gridSpan w:val="5"/>
          </w:tcPr>
          <w:p>
            <w:pPr>
              <w:jc w:val="center"/>
              <w:ind w:left="1910"/>
              <w:spacing w:after="0"/>
              <w:rPr>
                <w:sz w:val="20"/>
                <w:szCs w:val="20"/>
                <w:color w:val="auto"/>
              </w:rPr>
            </w:pPr>
            <w:r>
              <w:rPr>
                <w:rFonts w:ascii="Arial" w:cs="Arial" w:eastAsia="Arial" w:hAnsi="Arial"/>
                <w:sz w:val="18"/>
                <w:szCs w:val="18"/>
                <w:b w:val="1"/>
                <w:bCs w:val="1"/>
                <w:color w:val="auto"/>
                <w:w w:val="89"/>
              </w:rPr>
              <w:t>36-2476480</w:t>
            </w:r>
          </w:p>
        </w:tc>
      </w:tr>
      <w:tr>
        <w:trPr>
          <w:trHeight w:val="195"/>
        </w:trPr>
        <w:tc>
          <w:tcPr>
            <w:tcW w:w="3260" w:type="dxa"/>
            <w:vAlign w:val="bottom"/>
            <w:tcBorders>
              <w:top w:val="single" w:sz="8" w:color="auto"/>
            </w:tcBorders>
          </w:tcPr>
          <w:p>
            <w:pPr>
              <w:jc w:val="center"/>
              <w:ind w:left="970"/>
              <w:spacing w:after="0" w:line="195" w:lineRule="exact"/>
              <w:rPr>
                <w:sz w:val="20"/>
                <w:szCs w:val="20"/>
                <w:color w:val="auto"/>
              </w:rPr>
            </w:pPr>
            <w:r>
              <w:rPr>
                <w:rFonts w:ascii="Arial" w:cs="Arial" w:eastAsia="Arial" w:hAnsi="Arial"/>
                <w:sz w:val="18"/>
                <w:szCs w:val="18"/>
                <w:color w:val="auto"/>
                <w:w w:val="92"/>
              </w:rPr>
              <w:t>(State or other jurisdiction of</w:t>
            </w: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jc w:val="center"/>
              <w:ind w:right="21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ind w:left="970"/>
              <w:spacing w:after="0"/>
              <w:rPr>
                <w:sz w:val="20"/>
                <w:szCs w:val="20"/>
                <w:color w:val="auto"/>
              </w:rPr>
            </w:pPr>
            <w:r>
              <w:rPr>
                <w:rFonts w:ascii="Arial" w:cs="Arial" w:eastAsia="Arial" w:hAnsi="Arial"/>
                <w:sz w:val="18"/>
                <w:szCs w:val="18"/>
                <w:color w:val="auto"/>
                <w:w w:val="92"/>
              </w:rPr>
              <w:t>incorporation or organization)</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Pr>
          <w:p>
            <w:pPr>
              <w:jc w:val="center"/>
              <w:ind w:right="21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3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40" w:type="dxa"/>
            <w:vAlign w:val="bottom"/>
            <w:gridSpan w:val="4"/>
          </w:tcPr>
          <w:p>
            <w:pPr>
              <w:jc w:val="center"/>
              <w:ind w:right="3930"/>
              <w:spacing w:after="0"/>
              <w:rPr>
                <w:sz w:val="20"/>
                <w:szCs w:val="20"/>
                <w:color w:val="auto"/>
              </w:rPr>
            </w:pPr>
            <w:r>
              <w:rPr>
                <w:rFonts w:ascii="Arial" w:cs="Arial" w:eastAsia="Arial" w:hAnsi="Arial"/>
                <w:sz w:val="18"/>
                <w:szCs w:val="18"/>
                <w:b w:val="1"/>
                <w:bCs w:val="1"/>
                <w:color w:val="auto"/>
                <w:w w:val="88"/>
              </w:rPr>
              <w:t>15 Joys Lane</w:t>
            </w:r>
          </w:p>
        </w:tc>
      </w:tr>
      <w:tr>
        <w:trPr>
          <w:trHeight w:val="194"/>
        </w:trPr>
        <w:tc>
          <w:tcPr>
            <w:tcW w:w="3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Kingston, NY 12401</w:t>
            </w:r>
          </w:p>
        </w:tc>
        <w:tc>
          <w:tcPr>
            <w:tcW w:w="4000" w:type="dxa"/>
            <w:vAlign w:val="bottom"/>
          </w:tcPr>
          <w:p>
            <w:pPr>
              <w:spacing w:after="0"/>
              <w:rPr>
                <w:sz w:val="16"/>
                <w:szCs w:val="16"/>
                <w:color w:val="auto"/>
              </w:rPr>
            </w:pPr>
          </w:p>
        </w:tc>
      </w:tr>
      <w:tr>
        <w:trPr>
          <w:trHeight w:val="237"/>
        </w:trPr>
        <w:tc>
          <w:tcPr>
            <w:tcW w:w="3260" w:type="dxa"/>
            <w:vAlign w:val="bottom"/>
          </w:tcPr>
          <w:p>
            <w:pPr>
              <w:spacing w:after="0"/>
              <w:rPr>
                <w:sz w:val="20"/>
                <w:szCs w:val="20"/>
                <w:color w:val="auto"/>
              </w:rPr>
            </w:pPr>
          </w:p>
        </w:tc>
        <w:tc>
          <w:tcPr>
            <w:tcW w:w="6300" w:type="dxa"/>
            <w:vAlign w:val="bottom"/>
            <w:gridSpan w:val="5"/>
          </w:tcPr>
          <w:p>
            <w:pPr>
              <w:jc w:val="center"/>
              <w:ind w:right="3150"/>
              <w:spacing w:after="0"/>
              <w:rPr>
                <w:sz w:val="20"/>
                <w:szCs w:val="20"/>
                <w:color w:val="auto"/>
              </w:rPr>
            </w:pPr>
            <w:r>
              <w:rPr>
                <w:rFonts w:ascii="Arial" w:cs="Arial" w:eastAsia="Arial" w:hAnsi="Arial"/>
                <w:sz w:val="18"/>
                <w:szCs w:val="18"/>
                <w:b w:val="1"/>
                <w:bCs w:val="1"/>
                <w:color w:val="auto"/>
                <w:w w:val="88"/>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(845) 802-7900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KINS</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9"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0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May 15, 2023, there were 10,760,579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385"/>
        </w:trPr>
        <w:tc>
          <w:tcPr>
            <w:tcW w:w="10020" w:type="dxa"/>
            <w:vAlign w:val="bottom"/>
            <w:gridSpan w:val="26"/>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40"/>
              <w:spacing w:after="0" w:line="176" w:lineRule="exact"/>
              <w:rPr>
                <w:sz w:val="20"/>
                <w:szCs w:val="20"/>
                <w:color w:val="auto"/>
              </w:rPr>
            </w:pPr>
            <w:r>
              <w:rPr>
                <w:rFonts w:ascii="Arial" w:cs="Arial" w:eastAsia="Arial" w:hAnsi="Arial"/>
                <w:sz w:val="18"/>
                <w:szCs w:val="18"/>
                <w:color w:val="0000EE"/>
                <w:w w:val="90"/>
              </w:rPr>
              <w:t>Item 1 —</w:t>
            </w:r>
          </w:p>
        </w:tc>
        <w:tc>
          <w:tcPr>
            <w:tcW w:w="240" w:type="dxa"/>
            <w:vAlign w:val="bottom"/>
            <w:shd w:val="clear" w:color="auto" w:fill="CCEEFF"/>
          </w:tcPr>
          <w:p>
            <w:pPr>
              <w:spacing w:after="0"/>
              <w:rPr>
                <w:sz w:val="15"/>
                <w:szCs w:val="15"/>
                <w:color w:val="auto"/>
              </w:rPr>
            </w:pPr>
          </w:p>
        </w:tc>
        <w:tc>
          <w:tcPr>
            <w:tcW w:w="88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4</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80" w:type="dxa"/>
            <w:vAlign w:val="bottom"/>
            <w:gridSpan w:val="20"/>
          </w:tcPr>
          <w:p>
            <w:pPr>
              <w:spacing w:after="0" w:line="176" w:lineRule="exact"/>
              <w:rPr>
                <w:sz w:val="20"/>
                <w:szCs w:val="20"/>
                <w:color w:val="auto"/>
              </w:rPr>
            </w:pPr>
            <w:r>
              <w:rPr>
                <w:rFonts w:ascii="Arial" w:cs="Arial" w:eastAsia="Arial" w:hAnsi="Arial"/>
                <w:sz w:val="18"/>
                <w:szCs w:val="18"/>
                <w:color w:val="0000EE"/>
              </w:rPr>
              <w:t>Condensed Consolidated Balance Sheets at March 31, 2023 (Unaudited) and December 31, 2022</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Operations and Comprehensive Income (Loss) for the three months ended March</w:t>
            </w:r>
          </w:p>
        </w:tc>
        <w:tc>
          <w:tcPr>
            <w:tcW w:w="122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160" w:type="dxa"/>
            <w:vAlign w:val="bottom"/>
            <w:tcBorders>
              <w:top w:val="single" w:sz="8" w:color="0000EE"/>
              <w:bottom w:val="single" w:sz="8" w:color="0000EE"/>
            </w:tcBorders>
            <w:gridSpan w:val="12"/>
            <w:shd w:val="clear" w:color="auto" w:fill="CCEEFF"/>
          </w:tcPr>
          <w:p>
            <w:pPr>
              <w:spacing w:after="0" w:line="196" w:lineRule="exact"/>
              <w:rPr>
                <w:sz w:val="20"/>
                <w:szCs w:val="20"/>
                <w:color w:val="auto"/>
              </w:rPr>
            </w:pPr>
            <w:r>
              <w:rPr>
                <w:rFonts w:ascii="Arial" w:cs="Arial" w:eastAsia="Arial" w:hAnsi="Arial"/>
                <w:sz w:val="18"/>
                <w:szCs w:val="18"/>
                <w:color w:val="0000EE"/>
                <w:w w:val="90"/>
              </w:rPr>
              <w:t>31, 2023 (Unaudited) and 2022 (Unaudited)</w:t>
            </w:r>
          </w:p>
        </w:tc>
        <w:tc>
          <w:tcPr>
            <w:tcW w:w="554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w:t>
            </w:r>
          </w:p>
        </w:tc>
      </w:tr>
      <w:tr>
        <w:trPr>
          <w:trHeight w:val="175"/>
        </w:trPr>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tcBorders>
              <w:bottom w:val="single" w:sz="8" w:color="0000EE"/>
            </w:tcBorders>
            <w:gridSpan w:val="19"/>
          </w:tcPr>
          <w:p>
            <w:pPr>
              <w:spacing w:after="0" w:line="176" w:lineRule="exact"/>
              <w:rPr>
                <w:sz w:val="20"/>
                <w:szCs w:val="20"/>
                <w:color w:val="auto"/>
              </w:rPr>
            </w:pPr>
            <w:r>
              <w:rPr>
                <w:rFonts w:ascii="Arial" w:cs="Arial" w:eastAsia="Arial" w:hAnsi="Arial"/>
                <w:sz w:val="18"/>
                <w:szCs w:val="18"/>
                <w:color w:val="0000EE"/>
                <w:w w:val="89"/>
              </w:rPr>
              <w:t>Condensed Consolidated Statements of Stockholders’ Equity for the three months ended March 31, 2023 (Unaudited) and</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80" w:type="dxa"/>
            <w:vAlign w:val="bottom"/>
            <w:gridSpan w:val="20"/>
          </w:tcPr>
          <w:p>
            <w:pPr>
              <w:spacing w:after="0" w:line="196" w:lineRule="exact"/>
              <w:rPr>
                <w:sz w:val="20"/>
                <w:szCs w:val="20"/>
                <w:color w:val="auto"/>
              </w:rPr>
            </w:pPr>
            <w:r>
              <w:rPr>
                <w:rFonts w:ascii="Arial" w:cs="Arial" w:eastAsia="Arial" w:hAnsi="Arial"/>
                <w:sz w:val="18"/>
                <w:szCs w:val="18"/>
                <w:color w:val="0000EE"/>
              </w:rPr>
              <w:t>2022 (Unaudited)</w:t>
            </w:r>
          </w:p>
        </w:tc>
        <w:tc>
          <w:tcPr>
            <w:tcW w:w="12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w:t>
            </w:r>
          </w:p>
        </w:tc>
      </w:tr>
      <w:tr>
        <w:trPr>
          <w:trHeight w:val="21"/>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50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Cash Flows for the three months ended March 31, 2023 (Unaudited) and 2022</w:t>
            </w:r>
          </w:p>
        </w:tc>
        <w:tc>
          <w:tcPr>
            <w:tcW w:w="380" w:type="dxa"/>
            <w:vAlign w:val="bottom"/>
            <w:tcBorders>
              <w:bottom w:val="single" w:sz="8" w:color="CCEEFF"/>
            </w:tcBorders>
            <w:gridSpan w:val="3"/>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80" w:type="dxa"/>
            <w:vAlign w:val="bottom"/>
            <w:gridSpan w:val="20"/>
            <w:shd w:val="clear" w:color="auto" w:fill="CCEEFF"/>
          </w:tcPr>
          <w:p>
            <w:pPr>
              <w:spacing w:after="0" w:line="196" w:lineRule="exact"/>
              <w:rPr>
                <w:sz w:val="20"/>
                <w:szCs w:val="20"/>
                <w:color w:val="auto"/>
              </w:rPr>
            </w:pPr>
            <w:r>
              <w:rPr>
                <w:rFonts w:ascii="Arial" w:cs="Arial" w:eastAsia="Arial" w:hAnsi="Arial"/>
                <w:sz w:val="18"/>
                <w:szCs w:val="18"/>
                <w:color w:val="0000EE"/>
              </w:rPr>
              <w:t>(Unaudited)</w:t>
            </w:r>
          </w:p>
        </w:tc>
        <w:tc>
          <w:tcPr>
            <w:tcW w:w="1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80" w:type="dxa"/>
            <w:vAlign w:val="bottom"/>
            <w:gridSpan w:val="20"/>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9</w:t>
            </w:r>
          </w:p>
        </w:tc>
      </w:tr>
      <w:tr>
        <w:trPr>
          <w:trHeight w:val="21"/>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40"/>
              <w:spacing w:after="0" w:line="176" w:lineRule="exact"/>
              <w:rPr>
                <w:sz w:val="20"/>
                <w:szCs w:val="20"/>
                <w:color w:val="auto"/>
              </w:rPr>
            </w:pPr>
            <w:r>
              <w:rPr>
                <w:rFonts w:ascii="Arial" w:cs="Arial" w:eastAsia="Arial" w:hAnsi="Arial"/>
                <w:sz w:val="18"/>
                <w:szCs w:val="18"/>
                <w:color w:val="0000EE"/>
                <w:w w:val="90"/>
              </w:rPr>
              <w:t>Item 2 —</w:t>
            </w:r>
          </w:p>
        </w:tc>
        <w:tc>
          <w:tcPr>
            <w:tcW w:w="240" w:type="dxa"/>
            <w:vAlign w:val="bottom"/>
            <w:shd w:val="clear" w:color="auto" w:fill="CCEEFF"/>
          </w:tcPr>
          <w:p>
            <w:pPr>
              <w:spacing w:after="0"/>
              <w:rPr>
                <w:sz w:val="15"/>
                <w:szCs w:val="15"/>
                <w:color w:val="auto"/>
              </w:rPr>
            </w:pPr>
          </w:p>
        </w:tc>
        <w:tc>
          <w:tcPr>
            <w:tcW w:w="88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42</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720" w:type="dxa"/>
            <w:vAlign w:val="bottom"/>
            <w:gridSpan w:val="4"/>
          </w:tcPr>
          <w:p>
            <w:pPr>
              <w:ind w:left="40"/>
              <w:spacing w:after="0" w:line="176" w:lineRule="exact"/>
              <w:rPr>
                <w:sz w:val="20"/>
                <w:szCs w:val="20"/>
                <w:color w:val="auto"/>
              </w:rPr>
            </w:pPr>
            <w:r>
              <w:rPr>
                <w:rFonts w:ascii="Arial" w:cs="Arial" w:eastAsia="Arial" w:hAnsi="Arial"/>
                <w:sz w:val="18"/>
                <w:szCs w:val="18"/>
                <w:color w:val="0000EE"/>
                <w:w w:val="90"/>
              </w:rPr>
              <w:t>Item 3 —</w:t>
            </w:r>
          </w:p>
        </w:tc>
        <w:tc>
          <w:tcPr>
            <w:tcW w:w="240" w:type="dxa"/>
            <w:vAlign w:val="bottom"/>
          </w:tcPr>
          <w:p>
            <w:pPr>
              <w:spacing w:after="0"/>
              <w:rPr>
                <w:sz w:val="15"/>
                <w:szCs w:val="15"/>
                <w:color w:val="auto"/>
              </w:rPr>
            </w:pPr>
          </w:p>
        </w:tc>
        <w:tc>
          <w:tcPr>
            <w:tcW w:w="8880" w:type="dxa"/>
            <w:vAlign w:val="bottom"/>
            <w:gridSpan w:val="20"/>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69</w:t>
            </w:r>
          </w:p>
        </w:tc>
      </w:tr>
      <w:tr>
        <w:trPr>
          <w:trHeight w:val="21"/>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40"/>
              <w:spacing w:after="0" w:line="176" w:lineRule="exact"/>
              <w:rPr>
                <w:sz w:val="20"/>
                <w:szCs w:val="20"/>
                <w:color w:val="auto"/>
              </w:rPr>
            </w:pPr>
            <w:r>
              <w:rPr>
                <w:rFonts w:ascii="Arial" w:cs="Arial" w:eastAsia="Arial" w:hAnsi="Arial"/>
                <w:sz w:val="18"/>
                <w:szCs w:val="18"/>
                <w:color w:val="0000EE"/>
                <w:w w:val="90"/>
              </w:rPr>
              <w:t>Item 4 —</w:t>
            </w:r>
          </w:p>
        </w:tc>
        <w:tc>
          <w:tcPr>
            <w:tcW w:w="240" w:type="dxa"/>
            <w:vAlign w:val="bottom"/>
            <w:shd w:val="clear" w:color="auto" w:fill="CCEEFF"/>
          </w:tcPr>
          <w:p>
            <w:pPr>
              <w:spacing w:after="0"/>
              <w:rPr>
                <w:sz w:val="15"/>
                <w:szCs w:val="15"/>
                <w:color w:val="auto"/>
              </w:rPr>
            </w:pPr>
          </w:p>
        </w:tc>
        <w:tc>
          <w:tcPr>
            <w:tcW w:w="88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70</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392"/>
        </w:trPr>
        <w:tc>
          <w:tcPr>
            <w:tcW w:w="10020" w:type="dxa"/>
            <w:vAlign w:val="bottom"/>
            <w:gridSpan w:val="26"/>
          </w:tcPr>
          <w:p>
            <w:pPr>
              <w:spacing w:after="0"/>
              <w:rPr>
                <w:sz w:val="20"/>
                <w:szCs w:val="20"/>
                <w:color w:val="auto"/>
              </w:rPr>
            </w:pPr>
            <w:r>
              <w:rPr>
                <w:rFonts w:ascii="Arial" w:cs="Arial" w:eastAsia="Arial" w:hAnsi="Arial"/>
                <w:sz w:val="18"/>
                <w:szCs w:val="18"/>
                <w:b w:val="1"/>
                <w:bCs w:val="1"/>
                <w:color w:val="0000EE"/>
              </w:rPr>
              <w:t>PART II — OTHER INFORMATION</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40"/>
              <w:spacing w:after="0" w:line="176" w:lineRule="exact"/>
              <w:rPr>
                <w:sz w:val="20"/>
                <w:szCs w:val="20"/>
                <w:color w:val="auto"/>
              </w:rPr>
            </w:pPr>
            <w:r>
              <w:rPr>
                <w:rFonts w:ascii="Arial" w:cs="Arial" w:eastAsia="Arial" w:hAnsi="Arial"/>
                <w:sz w:val="18"/>
                <w:szCs w:val="18"/>
                <w:color w:val="0000EE"/>
                <w:w w:val="90"/>
              </w:rPr>
              <w:t>Item 1 —</w:t>
            </w:r>
          </w:p>
        </w:tc>
        <w:tc>
          <w:tcPr>
            <w:tcW w:w="240" w:type="dxa"/>
            <w:vAlign w:val="bottom"/>
            <w:shd w:val="clear" w:color="auto" w:fill="CCEEFF"/>
          </w:tcPr>
          <w:p>
            <w:pPr>
              <w:spacing w:after="0"/>
              <w:rPr>
                <w:sz w:val="15"/>
                <w:szCs w:val="15"/>
                <w:color w:val="auto"/>
              </w:rPr>
            </w:pPr>
          </w:p>
        </w:tc>
        <w:tc>
          <w:tcPr>
            <w:tcW w:w="88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71</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720" w:type="dxa"/>
            <w:vAlign w:val="bottom"/>
            <w:gridSpan w:val="4"/>
          </w:tcPr>
          <w:p>
            <w:pPr>
              <w:ind w:left="40"/>
              <w:spacing w:after="0" w:line="176" w:lineRule="exact"/>
              <w:rPr>
                <w:sz w:val="20"/>
                <w:szCs w:val="20"/>
                <w:color w:val="auto"/>
              </w:rPr>
            </w:pPr>
            <w:r>
              <w:rPr>
                <w:rFonts w:ascii="Arial" w:cs="Arial" w:eastAsia="Arial" w:hAnsi="Arial"/>
                <w:sz w:val="18"/>
                <w:szCs w:val="18"/>
                <w:color w:val="0000EE"/>
              </w:rPr>
              <w:t>Item 1A</w:t>
            </w:r>
          </w:p>
        </w:tc>
        <w:tc>
          <w:tcPr>
            <w:tcW w:w="240" w:type="dxa"/>
            <w:vAlign w:val="bottom"/>
          </w:tcPr>
          <w:p>
            <w:pPr>
              <w:spacing w:after="0"/>
              <w:rPr>
                <w:sz w:val="15"/>
                <w:szCs w:val="15"/>
                <w:color w:val="auto"/>
              </w:rPr>
            </w:pPr>
          </w:p>
        </w:tc>
        <w:tc>
          <w:tcPr>
            <w:tcW w:w="8880" w:type="dxa"/>
            <w:vAlign w:val="bottom"/>
            <w:gridSpan w:val="20"/>
          </w:tcPr>
          <w:p>
            <w:pPr>
              <w:spacing w:after="0" w:line="176" w:lineRule="exact"/>
              <w:rPr>
                <w:sz w:val="20"/>
                <w:szCs w:val="20"/>
                <w:color w:val="auto"/>
              </w:rPr>
            </w:pPr>
            <w:r>
              <w:rPr>
                <w:rFonts w:ascii="Arial" w:cs="Arial" w:eastAsia="Arial" w:hAnsi="Arial"/>
                <w:sz w:val="18"/>
                <w:szCs w:val="18"/>
                <w:color w:val="0000EE"/>
              </w:rPr>
              <w:t>Risk Factors</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71</w:t>
            </w:r>
          </w:p>
        </w:tc>
      </w:tr>
      <w:tr>
        <w:trPr>
          <w:trHeight w:val="196"/>
        </w:trPr>
        <w:tc>
          <w:tcPr>
            <w:tcW w:w="220" w:type="dxa"/>
            <w:vAlign w:val="bottom"/>
            <w:gridSpan w:val="2"/>
          </w:tcPr>
          <w:p>
            <w:pPr>
              <w:spacing w:after="0" w:line="196" w:lineRule="exact"/>
              <w:rPr>
                <w:sz w:val="20"/>
                <w:szCs w:val="20"/>
                <w:color w:val="auto"/>
              </w:rPr>
            </w:pPr>
            <w:r>
              <w:rPr>
                <w:rFonts w:ascii="Arial" w:cs="Arial" w:eastAsia="Arial" w:hAnsi="Arial"/>
                <w:sz w:val="18"/>
                <w:szCs w:val="18"/>
                <w:color w:val="0000EE"/>
              </w:rPr>
              <w:t>—</w:t>
            </w:r>
          </w:p>
        </w:tc>
        <w:tc>
          <w:tcPr>
            <w:tcW w:w="5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40"/>
              <w:spacing w:after="0" w:line="176" w:lineRule="exact"/>
              <w:rPr>
                <w:sz w:val="20"/>
                <w:szCs w:val="20"/>
                <w:color w:val="auto"/>
              </w:rPr>
            </w:pPr>
            <w:r>
              <w:rPr>
                <w:rFonts w:ascii="Arial" w:cs="Arial" w:eastAsia="Arial" w:hAnsi="Arial"/>
                <w:sz w:val="18"/>
                <w:szCs w:val="18"/>
                <w:color w:val="0000EE"/>
                <w:w w:val="90"/>
              </w:rPr>
              <w:t>Item 2 —</w:t>
            </w:r>
          </w:p>
        </w:tc>
        <w:tc>
          <w:tcPr>
            <w:tcW w:w="240" w:type="dxa"/>
            <w:vAlign w:val="bottom"/>
            <w:shd w:val="clear" w:color="auto" w:fill="CCEEFF"/>
          </w:tcPr>
          <w:p>
            <w:pPr>
              <w:spacing w:after="0"/>
              <w:rPr>
                <w:sz w:val="15"/>
                <w:szCs w:val="15"/>
                <w:color w:val="auto"/>
              </w:rPr>
            </w:pPr>
          </w:p>
        </w:tc>
        <w:tc>
          <w:tcPr>
            <w:tcW w:w="88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71</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720" w:type="dxa"/>
            <w:vAlign w:val="bottom"/>
            <w:gridSpan w:val="4"/>
          </w:tcPr>
          <w:p>
            <w:pPr>
              <w:ind w:left="40"/>
              <w:spacing w:after="0" w:line="176" w:lineRule="exact"/>
              <w:rPr>
                <w:sz w:val="20"/>
                <w:szCs w:val="20"/>
                <w:color w:val="auto"/>
              </w:rPr>
            </w:pPr>
            <w:r>
              <w:rPr>
                <w:rFonts w:ascii="Arial" w:cs="Arial" w:eastAsia="Arial" w:hAnsi="Arial"/>
                <w:sz w:val="18"/>
                <w:szCs w:val="18"/>
                <w:color w:val="0000EE"/>
                <w:w w:val="90"/>
              </w:rPr>
              <w:t>Item 3 —</w:t>
            </w:r>
          </w:p>
        </w:tc>
        <w:tc>
          <w:tcPr>
            <w:tcW w:w="240" w:type="dxa"/>
            <w:vAlign w:val="bottom"/>
          </w:tcPr>
          <w:p>
            <w:pPr>
              <w:spacing w:after="0"/>
              <w:rPr>
                <w:sz w:val="15"/>
                <w:szCs w:val="15"/>
                <w:color w:val="auto"/>
              </w:rPr>
            </w:pPr>
          </w:p>
        </w:tc>
        <w:tc>
          <w:tcPr>
            <w:tcW w:w="8880" w:type="dxa"/>
            <w:vAlign w:val="bottom"/>
            <w:gridSpan w:val="20"/>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71</w:t>
            </w:r>
          </w:p>
        </w:tc>
      </w:tr>
      <w:tr>
        <w:trPr>
          <w:trHeight w:val="21"/>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40"/>
              <w:spacing w:after="0" w:line="176" w:lineRule="exact"/>
              <w:rPr>
                <w:sz w:val="20"/>
                <w:szCs w:val="20"/>
                <w:color w:val="auto"/>
              </w:rPr>
            </w:pPr>
            <w:r>
              <w:rPr>
                <w:rFonts w:ascii="Arial" w:cs="Arial" w:eastAsia="Arial" w:hAnsi="Arial"/>
                <w:sz w:val="18"/>
                <w:szCs w:val="18"/>
                <w:color w:val="0000EE"/>
                <w:w w:val="90"/>
              </w:rPr>
              <w:t>Item 4 —</w:t>
            </w:r>
          </w:p>
        </w:tc>
        <w:tc>
          <w:tcPr>
            <w:tcW w:w="240" w:type="dxa"/>
            <w:vAlign w:val="bottom"/>
            <w:shd w:val="clear" w:color="auto" w:fill="CCEEFF"/>
          </w:tcPr>
          <w:p>
            <w:pPr>
              <w:spacing w:after="0"/>
              <w:rPr>
                <w:sz w:val="15"/>
                <w:szCs w:val="15"/>
                <w:color w:val="auto"/>
              </w:rPr>
            </w:pPr>
          </w:p>
        </w:tc>
        <w:tc>
          <w:tcPr>
            <w:tcW w:w="88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71</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720" w:type="dxa"/>
            <w:vAlign w:val="bottom"/>
            <w:gridSpan w:val="4"/>
          </w:tcPr>
          <w:p>
            <w:pPr>
              <w:ind w:left="40"/>
              <w:spacing w:after="0" w:line="176" w:lineRule="exact"/>
              <w:rPr>
                <w:sz w:val="20"/>
                <w:szCs w:val="20"/>
                <w:color w:val="auto"/>
              </w:rPr>
            </w:pPr>
            <w:r>
              <w:rPr>
                <w:rFonts w:ascii="Arial" w:cs="Arial" w:eastAsia="Arial" w:hAnsi="Arial"/>
                <w:sz w:val="18"/>
                <w:szCs w:val="18"/>
                <w:color w:val="0000EE"/>
                <w:w w:val="90"/>
              </w:rPr>
              <w:t>Item 5 —</w:t>
            </w:r>
          </w:p>
        </w:tc>
        <w:tc>
          <w:tcPr>
            <w:tcW w:w="240" w:type="dxa"/>
            <w:vAlign w:val="bottom"/>
          </w:tcPr>
          <w:p>
            <w:pPr>
              <w:spacing w:after="0"/>
              <w:rPr>
                <w:sz w:val="15"/>
                <w:szCs w:val="15"/>
                <w:color w:val="auto"/>
              </w:rPr>
            </w:pPr>
          </w:p>
        </w:tc>
        <w:tc>
          <w:tcPr>
            <w:tcW w:w="8880" w:type="dxa"/>
            <w:vAlign w:val="bottom"/>
            <w:gridSpan w:val="20"/>
          </w:tcPr>
          <w:p>
            <w:pPr>
              <w:spacing w:after="0" w:line="176" w:lineRule="exact"/>
              <w:rPr>
                <w:sz w:val="20"/>
                <w:szCs w:val="20"/>
                <w:color w:val="auto"/>
              </w:rPr>
            </w:pPr>
            <w:r>
              <w:rPr>
                <w:rFonts w:ascii="Arial" w:cs="Arial" w:eastAsia="Arial" w:hAnsi="Arial"/>
                <w:sz w:val="18"/>
                <w:szCs w:val="18"/>
                <w:color w:val="0000EE"/>
              </w:rPr>
              <w:t>Other Information</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71</w:t>
            </w:r>
          </w:p>
        </w:tc>
      </w:tr>
      <w:tr>
        <w:trPr>
          <w:trHeight w:val="21"/>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40"/>
              <w:spacing w:after="0" w:line="176" w:lineRule="exact"/>
              <w:rPr>
                <w:sz w:val="20"/>
                <w:szCs w:val="20"/>
                <w:color w:val="auto"/>
              </w:rPr>
            </w:pPr>
            <w:r>
              <w:rPr>
                <w:rFonts w:ascii="Arial" w:cs="Arial" w:eastAsia="Arial" w:hAnsi="Arial"/>
                <w:sz w:val="18"/>
                <w:szCs w:val="18"/>
                <w:color w:val="0000EE"/>
                <w:w w:val="90"/>
              </w:rPr>
              <w:t>Item 6 —</w:t>
            </w:r>
          </w:p>
        </w:tc>
        <w:tc>
          <w:tcPr>
            <w:tcW w:w="240" w:type="dxa"/>
            <w:vAlign w:val="bottom"/>
            <w:shd w:val="clear" w:color="auto" w:fill="CCEEFF"/>
          </w:tcPr>
          <w:p>
            <w:pPr>
              <w:spacing w:after="0"/>
              <w:rPr>
                <w:sz w:val="15"/>
                <w:szCs w:val="15"/>
                <w:color w:val="auto"/>
              </w:rPr>
            </w:pPr>
          </w:p>
        </w:tc>
        <w:tc>
          <w:tcPr>
            <w:tcW w:w="88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72</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 w:type="dxa"/>
            <w:vAlign w:val="bottom"/>
            <w:gridSpan w:val="5"/>
          </w:tcPr>
          <w:p>
            <w:pPr>
              <w:spacing w:after="0" w:line="176" w:lineRule="exact"/>
              <w:rPr>
                <w:sz w:val="20"/>
                <w:szCs w:val="20"/>
                <w:color w:val="auto"/>
              </w:rPr>
            </w:pPr>
            <w:r>
              <w:rPr>
                <w:rFonts w:ascii="Arial" w:cs="Arial" w:eastAsia="Arial" w:hAnsi="Arial"/>
                <w:sz w:val="18"/>
                <w:szCs w:val="18"/>
                <w:color w:val="0000EE"/>
              </w:rPr>
              <w:t>Signatures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73</w:t>
            </w:r>
          </w:p>
        </w:tc>
      </w:tr>
      <w:tr>
        <w:trPr>
          <w:trHeight w:val="669"/>
        </w:trPr>
        <w:tc>
          <w:tcPr>
            <w:tcW w:w="1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5"/>
          </w:tcPr>
          <w:p>
            <w:pPr>
              <w:jc w:val="right"/>
              <w:ind w:right="380"/>
              <w:spacing w:after="0"/>
              <w:rPr>
                <w:sz w:val="20"/>
                <w:szCs w:val="20"/>
                <w:color w:val="auto"/>
              </w:rPr>
            </w:pPr>
            <w:r>
              <w:rPr>
                <w:rFonts w:ascii="Arial" w:cs="Arial" w:eastAsia="Arial" w:hAnsi="Arial"/>
                <w:sz w:val="18"/>
                <w:szCs w:val="18"/>
                <w:color w:val="auto"/>
              </w:rPr>
              <w:t>2</w:t>
            </w:r>
          </w:p>
        </w:tc>
        <w:tc>
          <w:tcPr>
            <w:tcW w:w="1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Quarterly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Private Securities Litigation Reform Act of 1995. The events described in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2022, Part I, Item 2 of this Quarterly Report and Part II, Item 1A of this Quarterly Report.</w:t>
      </w:r>
    </w:p>
    <w:p>
      <w:pPr>
        <w:spacing w:after="0" w:line="21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2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right"/>
              <w:ind w:right="16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Fixed-maturity securities, held-to-maturity, at amortized cost (fair value of $6,825,609 at March 31, 2023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$6,600,388 at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7,765,096</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7,766,140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60" w:type="dxa"/>
            <w:vAlign w:val="bottom"/>
          </w:tcPr>
          <w:p>
            <w:pPr>
              <w:ind w:left="220"/>
              <w:spacing w:after="0" w:line="201" w:lineRule="exact"/>
              <w:rPr>
                <w:sz w:val="20"/>
                <w:szCs w:val="20"/>
                <w:color w:val="auto"/>
              </w:rPr>
            </w:pPr>
            <w:r>
              <w:rPr>
                <w:rFonts w:ascii="Arial" w:cs="Arial" w:eastAsia="Arial" w:hAnsi="Arial"/>
                <w:sz w:val="18"/>
                <w:szCs w:val="18"/>
                <w:color w:val="auto"/>
                <w:w w:val="94"/>
              </w:rPr>
              <w:t>Fixed-maturity securities, available-for-sale, at fair value (amortized cost of $172,374,518 at March 31, 2023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220"/>
              <w:spacing w:after="0"/>
              <w:rPr>
                <w:sz w:val="20"/>
                <w:szCs w:val="20"/>
                <w:color w:val="auto"/>
              </w:rPr>
            </w:pPr>
            <w:r>
              <w:rPr>
                <w:rFonts w:ascii="Arial" w:cs="Arial" w:eastAsia="Arial" w:hAnsi="Arial"/>
                <w:sz w:val="18"/>
                <w:szCs w:val="18"/>
                <w:color w:val="auto"/>
              </w:rPr>
              <w:t>$174,918,427 at December 31, 2022)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154,641,319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154,715,163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Equity securities, at fair value (cost of $18,011,146 at March 31, 2023 and $18,086,700 at December 31, 2022)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14,622,549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3,135,449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180,164,413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179,087,345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10,500,753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11,958,228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13,339,037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78,018,606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66,465,061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22,692,044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23,819,453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10,199,878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11,061,418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10,331,158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3,921,334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3,748,847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330,397,483</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320,332,531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124,121,818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118,339,513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105,159,893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107,492,777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20,110,212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13,061,966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6,147,717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6,651,723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 net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25,176,019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25,158,523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297,115,479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284,163,099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$0.01 par value; authorized 2,500,000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60" w:type="dxa"/>
            <w:vAlign w:val="bottom"/>
          </w:tcPr>
          <w:p>
            <w:pPr>
              <w:ind w:left="220"/>
              <w:spacing w:after="0" w:line="201" w:lineRule="exact"/>
              <w:rPr>
                <w:sz w:val="20"/>
                <w:szCs w:val="20"/>
                <w:color w:val="auto"/>
              </w:rPr>
            </w:pPr>
            <w:r>
              <w:rPr>
                <w:rFonts w:ascii="Arial" w:cs="Arial" w:eastAsia="Arial" w:hAnsi="Arial"/>
                <w:sz w:val="18"/>
                <w:szCs w:val="18"/>
                <w:color w:val="auto"/>
                <w:w w:val="93"/>
              </w:rPr>
              <w:t>Common stock, $0.01 par value; authorized 20,000,000 shares; issued 12,231,965 shares at March 31, 2023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w w:val="90"/>
              </w:rPr>
              <w:t>12,171,512 shares at December 31, 2022; outstanding 10,760,559 shares at March 31, 2023 and 10,700,106 shares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220"/>
              <w:spacing w:after="0"/>
              <w:rPr>
                <w:sz w:val="20"/>
                <w:szCs w:val="20"/>
                <w:color w:val="auto"/>
              </w:rPr>
            </w:pPr>
            <w:r>
              <w:rPr>
                <w:rFonts w:ascii="Arial" w:cs="Arial" w:eastAsia="Arial" w:hAnsi="Arial"/>
                <w:sz w:val="18"/>
                <w:szCs w:val="18"/>
                <w:color w:val="auto"/>
              </w:rPr>
              <w:t>at December 31, 2022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122,320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in excess of par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74,734,915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74,519,590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(14,007,076)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(15,958,428)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(22,000,674)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(16,945,964)</w:t>
            </w:r>
          </w:p>
        </w:tc>
        <w:tc>
          <w:tcPr>
            <w:tcW w:w="0" w:type="dxa"/>
            <w:vAlign w:val="bottom"/>
          </w:tcPr>
          <w:p>
            <w:pPr>
              <w:spacing w:after="0"/>
              <w:rPr>
                <w:sz w:val="1"/>
                <w:szCs w:val="1"/>
                <w:color w:val="auto"/>
              </w:rPr>
            </w:pPr>
          </w:p>
        </w:tc>
      </w:tr>
      <w:tr>
        <w:trPr>
          <w:trHeight w:val="209"/>
        </w:trPr>
        <w:tc>
          <w:tcPr>
            <w:tcW w:w="86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38,849,485</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41,736,913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1,471,406 shares at March 31, 2023 and December 31, 2022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(5,567,481)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(5,567,481)</w:t>
            </w:r>
          </w:p>
        </w:tc>
        <w:tc>
          <w:tcPr>
            <w:tcW w:w="0" w:type="dxa"/>
            <w:vAlign w:val="bottom"/>
          </w:tcPr>
          <w:p>
            <w:pPr>
              <w:spacing w:after="0"/>
              <w:rPr>
                <w:sz w:val="1"/>
                <w:szCs w:val="1"/>
                <w:color w:val="auto"/>
              </w:rPr>
            </w:pPr>
          </w:p>
        </w:tc>
      </w:tr>
      <w:tr>
        <w:trPr>
          <w:trHeight w:val="209"/>
        </w:trPr>
        <w:tc>
          <w:tcPr>
            <w:tcW w:w="86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33,282,004</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36,169,432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330,397,483</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320,332,531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682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6"/>
          </w:tcPr>
          <w:p>
            <w:pPr>
              <w:jc w:val="right"/>
              <w:ind w:right="181"/>
              <w:spacing w:after="0" w:line="191" w:lineRule="exact"/>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6"/>
          </w:tcPr>
          <w:p>
            <w:pPr>
              <w:jc w:val="right"/>
              <w:ind w:right="921"/>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9"/>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28,254,953</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26,673,380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5,445,407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4,681,396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Net gains (losses) on investments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1,224,871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(4,398,405)</w:t>
            </w: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161,040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36,627,763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28,551,295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25,039,410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22,941,198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8,539,762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8,351,086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6,871,619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662,634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881,955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1,009,891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42,931,446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40,216,843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 before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(6,303,683)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(11,665,548)</w:t>
            </w: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(1,248,973)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(2,468,016)</w:t>
            </w: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(5,054,710)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(9,197,532)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Gross change in unrealized gains (losses) on available-for-sale-securities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2,467,426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(9,865,777)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Reclassification adjustment for losses included in net loss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gains (losses), on available-for-sale-securities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Income tax (expense) benefit related to items of other comprehensive income (loss)</w:t>
            </w:r>
          </w:p>
        </w:tc>
        <w:tc>
          <w:tcPr>
            <w:tcW w:w="1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(518,713)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2,063,136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1,951,352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(7,761,317)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(3,103,358)</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(16,958,849)</w:t>
            </w:r>
          </w:p>
        </w:tc>
        <w:tc>
          <w:tcPr>
            <w:tcW w:w="0" w:type="dxa"/>
            <w:vAlign w:val="bottom"/>
          </w:tcPr>
          <w:p>
            <w:pPr>
              <w:spacing w:after="0"/>
              <w:rPr>
                <w:sz w:val="1"/>
                <w:szCs w:val="1"/>
                <w:color w:val="auto"/>
              </w:rPr>
            </w:pPr>
          </w:p>
        </w:tc>
      </w:tr>
      <w:tr>
        <w:trPr>
          <w:trHeight w:val="216"/>
        </w:trPr>
        <w:tc>
          <w:tcPr>
            <w:tcW w:w="8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common share: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(0.47)</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8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10,756,913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10,756,913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10,630,450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682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w w:val="96"/>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Retained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5"/>
            <w:vMerge w:val="restart"/>
          </w:tcPr>
          <w:p>
            <w:pPr>
              <w:jc w:val="right"/>
              <w:ind w:right="46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Earnings</w:t>
            </w:r>
          </w:p>
        </w:tc>
        <w:tc>
          <w:tcPr>
            <w:tcW w:w="2020" w:type="dxa"/>
            <w:vAlign w:val="bottom"/>
            <w:gridSpan w:val="4"/>
            <w:vMerge w:val="restart"/>
          </w:tcPr>
          <w:p>
            <w:pPr>
              <w:jc w:val="right"/>
              <w:ind w:right="54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in Excess</w:t>
            </w:r>
          </w:p>
        </w:tc>
        <w:tc>
          <w:tcPr>
            <w:tcW w:w="1220" w:type="dxa"/>
            <w:vAlign w:val="bottom"/>
            <w:gridSpan w:val="3"/>
          </w:tcPr>
          <w:p>
            <w:pPr>
              <w:spacing w:after="0"/>
              <w:rPr>
                <w:sz w:val="20"/>
                <w:szCs w:val="20"/>
                <w:color w:val="auto"/>
              </w:rPr>
            </w:pPr>
            <w:r>
              <w:rPr>
                <w:rFonts w:ascii="Arial" w:cs="Arial" w:eastAsia="Arial" w:hAnsi="Arial"/>
                <w:sz w:val="18"/>
                <w:szCs w:val="18"/>
                <w:color w:val="auto"/>
                <w:w w:val="95"/>
              </w:rPr>
              <w:t>Comprehensive</w:t>
            </w: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(Accumulated</w:t>
            </w:r>
          </w:p>
        </w:tc>
        <w:tc>
          <w:tcPr>
            <w:tcW w:w="202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Shares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of Par</w:t>
            </w:r>
          </w:p>
        </w:tc>
        <w:tc>
          <w:tcPr>
            <w:tcW w:w="1220" w:type="dxa"/>
            <w:vAlign w:val="bottom"/>
            <w:gridSpan w:val="3"/>
          </w:tcPr>
          <w:p>
            <w:pPr>
              <w:spacing w:after="0"/>
              <w:rPr>
                <w:sz w:val="20"/>
                <w:szCs w:val="20"/>
                <w:color w:val="auto"/>
              </w:rPr>
            </w:pPr>
            <w:r>
              <w:rPr>
                <w:rFonts w:ascii="Arial" w:cs="Arial" w:eastAsia="Arial" w:hAnsi="Arial"/>
                <w:sz w:val="18"/>
                <w:szCs w:val="18"/>
                <w:color w:val="auto"/>
              </w:rPr>
              <w:t>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Deficit)</w:t>
            </w:r>
          </w:p>
        </w:tc>
        <w:tc>
          <w:tcPr>
            <w:tcW w:w="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11,955,660</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$ 119,557</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$ 72,467,483</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1,796,739</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6,855,896</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1,471,406</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(5,567,481)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$ 75,672,194</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530,414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530,414</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222,070</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(2,221)</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stock</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awards for</w:t>
            </w: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payment of</w:t>
            </w: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withholding</w:t>
            </w: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(68,423)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(685)</w:t>
            </w:r>
          </w:p>
        </w:tc>
        <w:tc>
          <w:tcPr>
            <w:tcW w:w="11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(357,390)</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(358,075)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(425,490)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(425,490)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(9,197,532)</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(9,197,532)</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losses 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available-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for-sale</w:t>
            </w: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securities, net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(7,761,317)</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(7,761,317)</w:t>
            </w:r>
          </w:p>
        </w:tc>
        <w:tc>
          <w:tcPr>
            <w:tcW w:w="0" w:type="dxa"/>
            <w:vAlign w:val="bottom"/>
          </w:tcPr>
          <w:p>
            <w:pPr>
              <w:spacing w:after="0"/>
              <w:rPr>
                <w:sz w:val="1"/>
                <w:szCs w:val="1"/>
                <w:color w:val="auto"/>
              </w:rPr>
            </w:pPr>
          </w:p>
        </w:tc>
      </w:tr>
      <w:tr>
        <w:trPr>
          <w:trHeight w:val="21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6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vMerge w:val="continue"/>
            <w:shd w:val="clear" w:color="auto" w:fill="CCEEFF"/>
          </w:tcPr>
          <w:p>
            <w:pPr>
              <w:spacing w:after="0"/>
              <w:rPr>
                <w:sz w:val="18"/>
                <w:szCs w:val="18"/>
                <w:color w:val="auto"/>
              </w:rPr>
            </w:pPr>
          </w:p>
        </w:tc>
        <w:tc>
          <w:tcPr>
            <w:tcW w:w="820" w:type="dxa"/>
            <w:vAlign w:val="bottom"/>
            <w:tcBorders>
              <w:right w:val="single" w:sz="8" w:color="CCEEFF"/>
            </w:tcBorders>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Balance,</w:t>
            </w: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March 31,</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3"/>
              </w:rPr>
              <w:t>12,109,307</w:t>
            </w:r>
          </w:p>
        </w:tc>
        <w:tc>
          <w:tcPr>
            <w:tcW w:w="100" w:type="dxa"/>
            <w:vAlign w:val="bottom"/>
          </w:tcPr>
          <w:p>
            <w:pPr>
              <w:spacing w:after="0"/>
              <w:rPr>
                <w:sz w:val="18"/>
                <w:szCs w:val="18"/>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 121,093</w:t>
            </w:r>
          </w:p>
        </w:tc>
        <w:tc>
          <w:tcPr>
            <w:tcW w:w="12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 72,638,286</w:t>
            </w:r>
          </w:p>
        </w:tc>
        <w:tc>
          <w:tcPr>
            <w:tcW w:w="18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(5,964,578)</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(2,767,126)</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7"/>
              </w:rPr>
              <w:t>1,471,406</w:t>
            </w:r>
          </w:p>
        </w:tc>
        <w:tc>
          <w:tcPr>
            <w:tcW w:w="1200" w:type="dxa"/>
            <w:vAlign w:val="bottom"/>
            <w:gridSpan w:val="3"/>
            <w:vMerge w:val="restart"/>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(5,567,481)</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58,460,194</w:t>
            </w:r>
          </w:p>
        </w:tc>
        <w:tc>
          <w:tcPr>
            <w:tcW w:w="0" w:type="dxa"/>
            <w:vAlign w:val="bottom"/>
          </w:tcPr>
          <w:p>
            <w:pPr>
              <w:spacing w:after="0"/>
              <w:rPr>
                <w:sz w:val="1"/>
                <w:szCs w:val="1"/>
                <w:color w:val="auto"/>
              </w:rPr>
            </w:pPr>
          </w:p>
        </w:tc>
      </w:tr>
      <w:tr>
        <w:trPr>
          <w:trHeight w:val="210"/>
        </w:trPr>
        <w:tc>
          <w:tcPr>
            <w:tcW w:w="1080" w:type="dxa"/>
            <w:vAlign w:val="bottom"/>
          </w:tcPr>
          <w:p>
            <w:pPr>
              <w:spacing w:after="0" w:line="203" w:lineRule="exact"/>
              <w:rPr>
                <w:sz w:val="20"/>
                <w:szCs w:val="20"/>
                <w:color w:val="auto"/>
              </w:rPr>
            </w:pPr>
            <w:r>
              <w:rPr>
                <w:rFonts w:ascii="Arial" w:cs="Arial" w:eastAsia="Arial" w:hAnsi="Arial"/>
                <w:sz w:val="18"/>
                <w:szCs w:val="18"/>
                <w:color w:val="auto"/>
              </w:rPr>
              <w:t>2022</w:t>
            </w:r>
          </w:p>
        </w:tc>
        <w:tc>
          <w:tcPr>
            <w:tcW w:w="62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0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5"/>
            <w:vMerge w:val="restart"/>
          </w:tcPr>
          <w:p>
            <w:pPr>
              <w:jc w:val="right"/>
              <w:ind w:right="44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4"/>
            <w:vMerge w:val="restart"/>
          </w:tcPr>
          <w:p>
            <w:pPr>
              <w:jc w:val="right"/>
              <w:ind w:right="56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in Excess</w:t>
            </w:r>
          </w:p>
        </w:tc>
        <w:tc>
          <w:tcPr>
            <w:tcW w:w="1220" w:type="dxa"/>
            <w:vAlign w:val="bottom"/>
            <w:gridSpan w:val="3"/>
          </w:tcPr>
          <w:p>
            <w:pPr>
              <w:spacing w:after="0"/>
              <w:rPr>
                <w:sz w:val="20"/>
                <w:szCs w:val="20"/>
                <w:color w:val="auto"/>
              </w:rPr>
            </w:pPr>
            <w:r>
              <w:rPr>
                <w:rFonts w:ascii="Arial" w:cs="Arial" w:eastAsia="Arial" w:hAnsi="Arial"/>
                <w:sz w:val="18"/>
                <w:szCs w:val="18"/>
                <w:color w:val="auto"/>
                <w:w w:val="95"/>
              </w:rPr>
              <w:t>Comprehensive</w:t>
            </w:r>
          </w:p>
        </w:tc>
        <w:tc>
          <w:tcPr>
            <w:tcW w:w="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202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Shares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8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Amount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of Par</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Deficit</w:t>
            </w:r>
          </w:p>
        </w:tc>
        <w:tc>
          <w:tcPr>
            <w:tcW w:w="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12,171,512</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2"/>
              </w:rPr>
              <w:t>$ 121,715</w:t>
            </w:r>
          </w:p>
        </w:tc>
        <w:tc>
          <w:tcPr>
            <w:tcW w:w="11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1"/>
              </w:rPr>
              <w:t>$ 74,519,590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(15,958,428)</w:t>
            </w:r>
          </w:p>
        </w:tc>
        <w:tc>
          <w:tcPr>
            <w:tcW w:w="12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3"/>
              </w:rPr>
              <w:t>$ (16,945,964)</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1,471,406</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(5,567,481)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$ 36,169,432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216,767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216,767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60,951</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stock</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awards for</w:t>
            </w: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payment of</w:t>
            </w: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withholding</w:t>
            </w: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(5,054,710)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(5,054,710)</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unrealized</w:t>
            </w: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gains on</w:t>
            </w: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available-</w:t>
            </w:r>
          </w:p>
        </w:tc>
        <w:tc>
          <w:tcPr>
            <w:tcW w:w="6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for-sale</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5"/>
              </w:rPr>
              <w:t>securities, net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1,951,352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1,951,352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March 31,</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spacing w:after="0"/>
              <w:rPr>
                <w:sz w:val="18"/>
                <w:szCs w:val="18"/>
                <w:color w:val="auto"/>
              </w:rPr>
            </w:pP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vMerge w:val="restart"/>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5"/>
              </w:rPr>
              <w:t>12,231,965</w:t>
            </w:r>
          </w:p>
        </w:tc>
        <w:tc>
          <w:tcPr>
            <w:tcW w:w="8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122,320</w:t>
            </w:r>
          </w:p>
        </w:tc>
        <w:tc>
          <w:tcPr>
            <w:tcW w:w="1160" w:type="dxa"/>
            <w:vAlign w:val="bottom"/>
            <w:tcBorders>
              <w:right w:val="single" w:sz="8" w:color="CCEEFF"/>
            </w:tcBorders>
            <w:gridSpan w:val="3"/>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74,734,915</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5"/>
              </w:rPr>
              <w:t>(14,007,076)</w:t>
            </w:r>
          </w:p>
        </w:tc>
        <w:tc>
          <w:tcPr>
            <w:tcW w:w="1240" w:type="dxa"/>
            <w:vAlign w:val="bottom"/>
            <w:tcBorders>
              <w:right w:val="single" w:sz="8" w:color="CCEEFF"/>
            </w:tcBorders>
            <w:gridSpan w:val="4"/>
            <w:vMerge w:val="restart"/>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(22,000,674)</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1,471,406</w:t>
            </w:r>
          </w:p>
        </w:tc>
        <w:tc>
          <w:tcPr>
            <w:tcW w:w="12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(5,567,481)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33,282,004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2023</w:t>
            </w:r>
          </w:p>
        </w:tc>
        <w:tc>
          <w:tcPr>
            <w:tcW w:w="620" w:type="dxa"/>
            <w:vAlign w:val="bottom"/>
            <w:tcBorders>
              <w:right w:val="single" w:sz="8" w:color="CCEEFF"/>
            </w:tcBorders>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tcBorders>
              <w:right w:val="single" w:sz="8" w:color="CCEEFF"/>
            </w:tcBorders>
            <w:vMerge w:val="continue"/>
            <w:shd w:val="clear" w:color="auto" w:fill="CCEEFF"/>
          </w:tcPr>
          <w:p>
            <w:pPr>
              <w:spacing w:after="0"/>
              <w:rPr>
                <w:sz w:val="17"/>
                <w:szCs w:val="17"/>
                <w:color w:val="auto"/>
              </w:rPr>
            </w:pPr>
          </w:p>
        </w:tc>
        <w:tc>
          <w:tcPr>
            <w:tcW w:w="180" w:type="dxa"/>
            <w:vAlign w:val="bottom"/>
            <w:tcBorders>
              <w:right w:val="single" w:sz="8" w:color="CCEEFF"/>
            </w:tcBorders>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1160" w:type="dxa"/>
            <w:vAlign w:val="bottom"/>
            <w:tcBorders>
              <w:right w:val="single" w:sz="8" w:color="CCEEFF"/>
            </w:tcBorders>
            <w:gridSpan w:val="3"/>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40" w:type="dxa"/>
            <w:vAlign w:val="bottom"/>
            <w:tcBorders>
              <w:right w:val="single" w:sz="8" w:color="CCEEFF"/>
            </w:tcBorders>
            <w:gridSpan w:val="4"/>
            <w:vMerge w:val="continue"/>
            <w:shd w:val="clear" w:color="auto" w:fill="CCEEFF"/>
          </w:tcPr>
          <w:p>
            <w:pPr>
              <w:spacing w:after="0"/>
              <w:rPr>
                <w:sz w:val="17"/>
                <w:szCs w:val="17"/>
                <w:color w:val="auto"/>
              </w:rPr>
            </w:pPr>
          </w:p>
        </w:tc>
        <w:tc>
          <w:tcPr>
            <w:tcW w:w="820" w:type="dxa"/>
            <w:vAlign w:val="bottom"/>
            <w:tcBorders>
              <w:right w:val="single" w:sz="8" w:color="CCEEFF"/>
            </w:tcBorders>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080" w:type="dxa"/>
            <w:vAlign w:val="bottom"/>
            <w:shd w:val="clear" w:color="auto" w:fill="CCEEFF"/>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5" w:right="3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682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Three Months ended March 31,</w:t>
            </w:r>
          </w:p>
        </w:tc>
        <w:tc>
          <w:tcPr>
            <w:tcW w:w="124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r>
      <w:tr>
        <w:trPr>
          <w:trHeight w:val="425"/>
        </w:trPr>
        <w:tc>
          <w:tcPr>
            <w:tcW w:w="8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$(5,054,710)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(9,197,532)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losses (gains) on investments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(77,761)</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Net unrealized (gains) losses on equity investments</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(863,713)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3,560,634</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(gains) losses on other investments</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(363,797)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915,532</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808,130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770,110</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 expense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38,817</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Amortization of bond premium, net</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(37,795)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46,777</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discount and issuance costs on debt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296,919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44,045</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216,767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530,414</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benefit</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(1,248,973)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(2,112,244)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Decrease (increase) in operating assets: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521,963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1,250,311</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(11,553,545)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(9,049,252)</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582,406</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(172,487)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1,555,843</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5,782,305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3,968,253</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(2,332,884)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(2,392,728)</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Advance premiums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2,821,363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2,539,061</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balances payable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7,048,246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(7,870,498)</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119,860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(268,996)</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(504,006)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(2,221,270)</w:t>
            </w:r>
          </w:p>
        </w:tc>
      </w:tr>
      <w:tr>
        <w:trPr>
          <w:trHeight w:val="20"/>
        </w:trPr>
        <w:tc>
          <w:tcPr>
            <w:tcW w:w="8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(3,366,805)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(17,388,078)</w:t>
            </w:r>
          </w:p>
        </w:tc>
      </w:tr>
      <w:tr>
        <w:trPr>
          <w:trHeight w:val="210"/>
        </w:trPr>
        <w:tc>
          <w:tcPr>
            <w:tcW w:w="8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available-for-sale</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(10,974,819)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(13,890,402)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Purchase - equity securities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(506,081)</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Redemption - fixed-maturity securities held-to-maturity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Sale and maturity - fixed-maturity securities available-for-sale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13,554,928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10,181,658</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Sale - equity securities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4,994,884</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(466,073)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(1,565,128)</w:t>
            </w:r>
          </w:p>
        </w:tc>
      </w:tr>
      <w:tr>
        <w:trPr>
          <w:trHeight w:val="210"/>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(used in) investing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2,189,590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Principal payments on equipment financing</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(266,160)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Issue costs on 2022 Notes</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(358,075)</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(425,490)</w:t>
            </w:r>
          </w:p>
        </w:tc>
      </w:tr>
      <w:tr>
        <w:trPr>
          <w:trHeight w:val="20"/>
        </w:trPr>
        <w:tc>
          <w:tcPr>
            <w:tcW w:w="8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540" w:type="dxa"/>
            <w:vAlign w:val="bottom"/>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(280,260)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(783,565)</w:t>
            </w:r>
          </w:p>
        </w:tc>
      </w:tr>
      <w:tr>
        <w:trPr>
          <w:trHeight w:val="20"/>
        </w:trPr>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682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Three Months ended March 31,</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r>
      <w:tr>
        <w:trPr>
          <w:trHeight w:val="209"/>
        </w:trPr>
        <w:tc>
          <w:tcPr>
            <w:tcW w:w="85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(1,457,475)</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(18,456,712)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11,958,228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24,290,598</w:t>
            </w:r>
          </w:p>
        </w:tc>
        <w:tc>
          <w:tcPr>
            <w:tcW w:w="100" w:type="dxa"/>
            <w:vAlign w:val="bottom"/>
          </w:tcPr>
          <w:p>
            <w:pPr>
              <w:spacing w:after="0"/>
              <w:rPr>
                <w:sz w:val="18"/>
                <w:szCs w:val="18"/>
                <w:color w:val="auto"/>
              </w:rPr>
            </w:pPr>
          </w:p>
        </w:tc>
      </w:tr>
      <w:tr>
        <w:trPr>
          <w:trHeight w:val="216"/>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10,500,753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5,833,886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434,155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1,951,352</w:t>
            </w:r>
          </w:p>
        </w:tc>
        <w:tc>
          <w:tcPr>
            <w:tcW w:w="140" w:type="dxa"/>
            <w:vAlign w:val="bottom"/>
          </w:tcPr>
          <w:p>
            <w:pPr>
              <w:spacing w:after="0"/>
              <w:rPr>
                <w:sz w:val="20"/>
                <w:szCs w:val="20"/>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(7,761,317)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KINGSTONE COMPANIES,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Kingstone Companies, Inc. (referred to herein as "Kingstone" or the “Company” or, on a standalone basis for the parent company only, the “Holding Company”), through its wholly-owned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For the three months ended March 31, 2023 and 2022, 87.0% and 80.6%, respectively, of KICO’s direct written premiums came from the New York policies. Kingstone, through its wholly owned subsidiary, Cosi Agency, Inc. (“Cosi”), a multi-state licensed general agency, receives commission revenue from KICO for the policies it places with others and pays commissions to these agencies.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2022 and notes thereto included in the Company’s Annual Report on Form 10-K filed with the Securities and Exchange Commission (the “SEC”) on March 31, 2023.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three months ended March 31, 2023 may not be indicative of the results that may be expected for the year ending December 31, 2023.</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balances were reclassified to conform with the current year presentation. The reclassification had no effect on the Company’s previously reported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include the accounts of Kingstone and its wholly-owned subsidiaries: (1) KICO and its wholly-owned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2016, the Financial Accounting Standards Board issued Accounting Standards Update 2016-13 - Financial Instruments - Credit Losses (Topic 326): Measurement of Credit Losses on Financial Instruments (“ASU 2016-13”). This new guidance applies to reinsurance and insurance receivables and other financing receivables. For available-for-sale fixed maturity securities carried at fair value, estimated credit losses will continue to be measured at the present value of expected cash flows, however, the other than temporary impairment (“OTTI”) concept has been eliminated. Under the previous guidance, estimated credit impairments resulted in a write-down of amortized cost. Under the new guidance, estimated credit losses are recognized through an allowance and reversals of the allowance are permitted if the estimate of credit losses declines. For available-for-sale fixed maturity securities where the Company has an intent to sell, impairment will continue to result in a write-down of amortized cost. ASU 2016-13 was effective for the Company on January 1, 2023. The Company determined as of the date of adoption that the updated guidance did not have an impact on its consolidated financial statements. Below is a summary of the significant accounting policies impacted by the adoption of ASU 2016-13.</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allowance for credit losses is a valuation account that is reported as a reduction of a financial asset’s cost basis and is measured on a pool basis when similar risk characteristics exist. Management estimates the allowance using relevant available information from both internal and external sources. Historical credit loss experience provides the basis for the estimation of expected credit losses and adjustments may be made to reflect current conditions and reasonable and supportable forecasts. Adjustments to historical loss information are made for any additional factors that come to the Company’s attention. This could include significant shifts in counterparty financial strength ratings, aging of past due receivables, amounts sent to collection agencies, or other underlying portfolio changes. Amounts are considered past due when payments have not been received according to contractual terms. The Company also considers current and forecasted economic conditions, using a variety of economic metrics and forecast indices. The sensitivity of expected credit losses relative to changes to these forecasted economic conditions can vary by financial asset class. The Company considers a reasonable and supportable forecast period to be up to 24 months from the balance sheet date. After the forecast period, the Company reverts to historical credit experience. The Company uses collateral arrangements such as letters of credit and amounts held in beneficiary trusts to mitigate credit risk, which are considered in the estimate of net amount expected to be collected.</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made a policy election to present accrued interest balances separately from the amortized cost basis of assets and has elected the practical expedient to exclude the accrued interest from the tabular disclosures for available-for-sale and held-to-maturity securities. The Company has elected not to estimate an allowance for credit losses on accrued interest receivable. The accrual of interest income is discontinued and the asset is placed on nonaccrual status in the quarter that payment becomes delinquent. Interest accrued but not received for assets on nonaccrual status is reversed through investment income. Interest received for assets that are on nonaccrual status is recognized as payment is received. The asset is returned to accrual status when the principal and interest amounts contractually due are brought current and future payments are expected. Interest receivable is presented as a component of other assets on the condensed consolidated balance sheet.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3 and Note 6 to the condensed consolidated financial statements for additional information regarding credit losses.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amortized cost, estimated fair value, and gross unrealized gains and losses on investments in fixed-maturity securities classified as available-for-sale for which an allowance for credit loss has not been recorded, as of March 31, 2023 and December 31, 2022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Gross Unrealized Losses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9"/>
                <w:szCs w:val="19"/>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9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2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7"/>
              </w:rPr>
              <w:t>Gains</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Months</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426"/>
        </w:trPr>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Fixed-Maturity Securities:</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21,988,099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36,038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22,023,463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17,098,969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(5,153)</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(3,338,913)</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13,754,903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(3,344,066)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89"/>
              </w:rPr>
              <w:t>Corporate and other bonds Industrial and miscellaneous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80,264,856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(777,717)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(6,479,111)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73,008,028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(7,256,828)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Residential mortgage and other asset backed securities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53,022,594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67,556</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(496,219)</w:t>
            </w:r>
          </w:p>
        </w:tc>
        <w:tc>
          <w:tcPr>
            <w:tcW w:w="1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(6,739,006)</w:t>
            </w: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45,854,925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9"/>
              </w:rPr>
              <w:t>(7,167,669)</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Total fixed-maturity securities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172,374,518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103,594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(1,279,763)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(16,557,030)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154,641,319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(17,733,199)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11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ind w:left="40"/>
              <w:spacing w:after="0"/>
              <w:rPr>
                <w:sz w:val="20"/>
                <w:szCs w:val="20"/>
                <w:color w:val="auto"/>
              </w:rPr>
            </w:pPr>
            <w:r>
              <w:rPr>
                <w:rFonts w:ascii="Arial" w:cs="Arial" w:eastAsia="Arial" w:hAnsi="Arial"/>
                <w:sz w:val="18"/>
                <w:szCs w:val="18"/>
                <w:b w:val="1"/>
                <w:bCs w:val="1"/>
                <w:color w:val="auto"/>
              </w:rPr>
              <w:t>Gross Unrealized Losses</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9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2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c>
          <w:tcPr>
            <w:tcW w:w="110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Months</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425"/>
        </w:trPr>
        <w:tc>
          <w:tcPr>
            <w:tcW w:w="4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Fixed-Maturity Securities:</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23,874,545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23,869,096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17,108,154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(2,195,273)</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(1,771,494)</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13,141,387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(3,966,767)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Corporate and other bonds Industrial and miscellaneous</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80,338,464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(5,796,994)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(2,458,985)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72,082,485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(8,255,979)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Residential mortgage and other asset backed securities</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53,597,264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58,398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(882,664)</w:t>
            </w:r>
          </w:p>
        </w:tc>
        <w:tc>
          <w:tcPr>
            <w:tcW w:w="1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(7,150,803)</w:t>
            </w: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45,622,195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9"/>
              </w:rPr>
              <w:t>(7,975,069)</w:t>
            </w: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2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rPr>
              <w:t>Total fixed-maturity securities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174,918,427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59,877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(8,881,859)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(11,381,282)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154,715,163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(20,203,264)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00" w:hanging="443"/>
        <w:spacing w:after="0" w:line="25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2022, KICO placed certain U.S. Treasury securities to fulfill the required collateral for a sale leaseback transaction in a designated custodian account (see Note 7 – Debt - “Equipment Financing”). As of March 31, 2023 and December 31, 2022, the amount of required collateral was approximately $8,268,000 and $8,691,000, respectively. As of March 31, 2023 and December 31, 2022, the estimated fair value of the eligible collateral was approximately $11,475,000 and $8,691,000, respectively.</w:t>
      </w:r>
    </w:p>
    <w:p>
      <w:pPr>
        <w:spacing w:after="0" w:line="2" w:lineRule="exact"/>
        <w:rPr>
          <w:rFonts w:ascii="Arial" w:cs="Arial" w:eastAsia="Arial" w:hAnsi="Arial"/>
          <w:sz w:val="18"/>
          <w:szCs w:val="18"/>
          <w:color w:val="auto"/>
        </w:rPr>
      </w:pPr>
    </w:p>
    <w:p>
      <w:pPr>
        <w:jc w:val="both"/>
        <w:ind w:left="900" w:hanging="443"/>
        <w:spacing w:after="0" w:line="271"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December 31, 2022, the estimated fair value of the eligible investments was approximately $12,199,000. KICO will retain all rights regarding all securities if pledged as collateral. As of March 31, 2023 and December 31, 2022 there was no outstanding balance on the FHLBNY credit line.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March 31, 2023 and December 31, 2022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ind w:left="52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r>
      <w:tr>
        <w:trPr>
          <w:trHeight w:val="191"/>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5"/>
              </w:rPr>
              <w:t>Amortized</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3"/>
              </w:rPr>
              <w:t>Amortized</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Remaining Time to Maturity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5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15,731,448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15,650,264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16,359,100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16,307,991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55,396,930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53,174,343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18,605,987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14,085,113</w:t>
            </w: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30,202,432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25,759,376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54,559,158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52,230,283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18,021,114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14,202,411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31,796,918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26,469,581</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53,022,594</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45,854,925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53,597,264</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45,622,195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172,374,518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154,641,319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174,918,427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154,715,163</w:t>
            </w: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March 31,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420"/>
              <w:spacing w:after="0"/>
              <w:rPr>
                <w:sz w:val="20"/>
                <w:szCs w:val="20"/>
                <w:color w:val="auto"/>
              </w:rPr>
            </w:pPr>
            <w:r>
              <w:rPr>
                <w:rFonts w:ascii="Arial" w:cs="Arial" w:eastAsia="Arial" w:hAnsi="Arial"/>
                <w:sz w:val="18"/>
                <w:szCs w:val="18"/>
                <w:b w:val="1"/>
                <w:bCs w:val="1"/>
                <w:color w:val="auto"/>
              </w:rPr>
              <w:t>March 31, 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Losses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13,583,942</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(2,906,623)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10,677,319</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4,427,204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199,258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(681,232)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3,945,230</w:t>
            </w:r>
          </w:p>
        </w:tc>
        <w:tc>
          <w:tcPr>
            <w:tcW w:w="100" w:type="dxa"/>
            <w:vAlign w:val="bottom"/>
          </w:tcPr>
          <w:p>
            <w:pPr>
              <w:spacing w:after="0"/>
              <w:rPr>
                <w:sz w:val="18"/>
                <w:szCs w:val="18"/>
                <w:color w:val="auto"/>
              </w:rPr>
            </w:pPr>
          </w:p>
        </w:tc>
      </w:tr>
      <w:tr>
        <w:trPr>
          <w:trHeight w:val="250"/>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18,011,146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(3,587,855)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14,622,549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Losses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13,583,942</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(3,589,313)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9,994,629</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4,502,758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158,635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(821,632)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3,839,761</w:t>
            </w:r>
          </w:p>
        </w:tc>
        <w:tc>
          <w:tcPr>
            <w:tcW w:w="100" w:type="dxa"/>
            <w:vAlign w:val="bottom"/>
          </w:tcPr>
          <w:p>
            <w:pPr>
              <w:spacing w:after="0"/>
              <w:rPr>
                <w:sz w:val="18"/>
                <w:szCs w:val="18"/>
                <w:color w:val="auto"/>
              </w:rPr>
            </w:pPr>
          </w:p>
        </w:tc>
      </w:tr>
      <w:tr>
        <w:trPr>
          <w:trHeight w:val="250"/>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18,086,700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(4,410,945)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13,834,390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 and estimated fair value of, and gross gains on, the Company’s other investments as of March 31, 2023 and December 31, 2022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March 31, 2023</w:t>
            </w: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100" w:type="dxa"/>
            <w:vAlign w:val="bottom"/>
          </w:tcPr>
          <w:p>
            <w:pPr>
              <w:spacing w:after="0"/>
              <w:rPr>
                <w:sz w:val="20"/>
                <w:szCs w:val="20"/>
                <w:color w:val="auto"/>
              </w:rPr>
            </w:pPr>
          </w:p>
        </w:tc>
      </w:tr>
      <w:tr>
        <w:trPr>
          <w:trHeight w:val="191"/>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425"/>
        </w:trPr>
        <w:tc>
          <w:tcPr>
            <w:tcW w:w="506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fund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$ 1,987,040</w:t>
            </w:r>
          </w:p>
        </w:tc>
        <w:tc>
          <w:tcPr>
            <w:tcW w:w="1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$ 1,148,409</w:t>
            </w:r>
          </w:p>
        </w:tc>
        <w:tc>
          <w:tcPr>
            <w:tcW w:w="9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6"/>
              </w:rPr>
              <w:t>$ 3,135,449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$ 1,987,040</w:t>
            </w: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784,612</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6"/>
              </w:rPr>
              <w:t>$ 2,771,652</w:t>
            </w:r>
          </w:p>
        </w:tc>
        <w:tc>
          <w:tcPr>
            <w:tcW w:w="100" w:type="dxa"/>
            <w:vAlign w:val="bottom"/>
            <w:shd w:val="clear" w:color="auto" w:fill="CCEEFF"/>
          </w:tcPr>
          <w:p>
            <w:pPr>
              <w:spacing w:after="0"/>
              <w:rPr>
                <w:sz w:val="22"/>
                <w:szCs w:val="22"/>
                <w:color w:val="auto"/>
              </w:rPr>
            </w:pPr>
          </w:p>
        </w:tc>
      </w:tr>
      <w:tr>
        <w:trPr>
          <w:trHeight w:val="628"/>
        </w:trPr>
        <w:tc>
          <w:tcPr>
            <w:tcW w:w="49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 or amortized cost and estimated fair value of, and unrealized gross gains and losses on, investments in held-to-maturity fixed-maturity securities as of March 31, 2023 and December 31, 2022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March 31, 2023</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5"/>
            <w:vMerge w:val="restart"/>
          </w:tcPr>
          <w:p>
            <w:pPr>
              <w:jc w:val="right"/>
              <w:ind w:right="400"/>
              <w:spacing w:after="0"/>
              <w:rPr>
                <w:sz w:val="20"/>
                <w:szCs w:val="20"/>
                <w:color w:val="auto"/>
              </w:rPr>
            </w:pPr>
            <w:r>
              <w:rPr>
                <w:rFonts w:ascii="Arial" w:cs="Arial" w:eastAsia="Arial" w:hAnsi="Arial"/>
                <w:sz w:val="18"/>
                <w:szCs w:val="18"/>
                <w:b w:val="1"/>
                <w:bCs w:val="1"/>
                <w:color w:val="auto"/>
                <w:w w:val="88"/>
              </w:rPr>
              <w:t>Gross Unrealized Losses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9"/>
                <w:szCs w:val="19"/>
                <w:color w:val="auto"/>
              </w:rPr>
            </w:pPr>
          </w:p>
        </w:tc>
        <w:tc>
          <w:tcPr>
            <w:tcW w:w="2320" w:type="dxa"/>
            <w:vAlign w:val="bottom"/>
            <w:gridSpan w:val="5"/>
            <w:vMerge w:val="continue"/>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9"/>
                <w:szCs w:val="19"/>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10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1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8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90"/>
              </w:rPr>
              <w:t>More than 12</w:t>
            </w:r>
          </w:p>
        </w:tc>
        <w:tc>
          <w:tcPr>
            <w:tcW w:w="22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Gains/</w:t>
            </w:r>
          </w:p>
        </w:tc>
        <w:tc>
          <w:tcPr>
            <w:tcW w:w="0" w:type="dxa"/>
            <w:vAlign w:val="bottom"/>
          </w:tcPr>
          <w:p>
            <w:pPr>
              <w:spacing w:after="0"/>
              <w:rPr>
                <w:sz w:val="1"/>
                <w:szCs w:val="1"/>
                <w:color w:val="auto"/>
              </w:rPr>
            </w:pPr>
          </w:p>
        </w:tc>
      </w:t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Months</w:t>
            </w:r>
          </w:p>
        </w:tc>
        <w:tc>
          <w:tcPr>
            <w:tcW w:w="18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Months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426"/>
        </w:trPr>
        <w:tc>
          <w:tcPr>
            <w:tcW w:w="4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Held-to-Maturity Securities:</w:t>
            </w: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$ 1,228,634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(24,108)</w:t>
            </w:r>
          </w:p>
        </w:tc>
        <w:tc>
          <w:tcPr>
            <w:tcW w:w="1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$ 1,252,412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Political subdivisions of States, Territories and Possessions</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498,769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500,430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304,111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(56,461)</w:t>
            </w:r>
          </w:p>
        </w:tc>
        <w:tc>
          <w:tcPr>
            <w:tcW w:w="18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247,650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(56,461)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2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5,733,582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(57,910)</w:t>
            </w:r>
          </w:p>
        </w:tc>
        <w:tc>
          <w:tcPr>
            <w:tcW w:w="18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(890,603)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4,825,117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(908,465)</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8"/>
              </w:rPr>
              <w:t>$ 7,765,096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89,595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(138,479)</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(890,603)</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$ 6,825,609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(939,487)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December 31, 2022</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5"/>
            <w:vMerge w:val="restart"/>
          </w:tcPr>
          <w:p>
            <w:pPr>
              <w:jc w:val="right"/>
              <w:ind w:right="440"/>
              <w:spacing w:after="0"/>
              <w:rPr>
                <w:sz w:val="20"/>
                <w:szCs w:val="20"/>
                <w:color w:val="auto"/>
              </w:rPr>
            </w:pPr>
            <w:r>
              <w:rPr>
                <w:rFonts w:ascii="Arial" w:cs="Arial" w:eastAsia="Arial" w:hAnsi="Arial"/>
                <w:sz w:val="18"/>
                <w:szCs w:val="18"/>
                <w:b w:val="1"/>
                <w:bCs w:val="1"/>
                <w:color w:val="auto"/>
                <w:w w:val="86"/>
              </w:rPr>
              <w:t>Gross Unrealized Losses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Cost or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9"/>
                <w:szCs w:val="19"/>
                <w:color w:val="auto"/>
              </w:rPr>
            </w:pPr>
          </w:p>
        </w:tc>
        <w:tc>
          <w:tcPr>
            <w:tcW w:w="2320" w:type="dxa"/>
            <w:vAlign w:val="bottom"/>
            <w:gridSpan w:val="5"/>
            <w:vMerge w:val="continue"/>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Estimated</w:t>
            </w:r>
          </w:p>
        </w:tc>
        <w:tc>
          <w:tcPr>
            <w:tcW w:w="22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Amortized</w:t>
            </w:r>
          </w:p>
        </w:tc>
        <w:tc>
          <w:tcPr>
            <w:tcW w:w="1280" w:type="dxa"/>
            <w:vAlign w:val="bottom"/>
            <w:gridSpan w:val="4"/>
          </w:tcPr>
          <w:p>
            <w:pPr>
              <w:ind w:left="180"/>
              <w:spacing w:after="0" w:line="191" w:lineRule="exact"/>
              <w:rPr>
                <w:sz w:val="20"/>
                <w:szCs w:val="20"/>
                <w:color w:val="auto"/>
              </w:rPr>
            </w:pPr>
            <w:r>
              <w:rPr>
                <w:rFonts w:ascii="Arial" w:cs="Arial" w:eastAsia="Arial" w:hAnsi="Arial"/>
                <w:sz w:val="18"/>
                <w:szCs w:val="18"/>
                <w:b w:val="1"/>
                <w:bCs w:val="1"/>
                <w:color w:val="auto"/>
              </w:rPr>
              <w:t>Unrealized</w:t>
            </w:r>
          </w:p>
        </w:tc>
        <w:tc>
          <w:tcPr>
            <w:tcW w:w="11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3"/>
              </w:rPr>
              <w:t>More than 12</w:t>
            </w:r>
          </w:p>
        </w:tc>
        <w:tc>
          <w:tcPr>
            <w:tcW w:w="22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8"/>
              </w:rPr>
              <w:t>Gains/</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Months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Months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540" w:type="dxa"/>
            <w:vAlign w:val="bottom"/>
            <w:gridSpan w:val="2"/>
          </w:tcPr>
          <w:p>
            <w:pPr>
              <w:spacing w:after="0"/>
              <w:rPr>
                <w:sz w:val="20"/>
                <w:szCs w:val="20"/>
                <w:color w:val="auto"/>
              </w:rPr>
            </w:pPr>
            <w:r>
              <w:rPr>
                <w:rFonts w:ascii="Arial" w:cs="Arial" w:eastAsia="Arial" w:hAnsi="Arial"/>
                <w:sz w:val="18"/>
                <w:szCs w:val="18"/>
                <w:color w:val="auto"/>
              </w:rPr>
              <w:t>Held-to-Maturity Securities: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$ 1,228,560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(34,077)</w:t>
            </w: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$ 1,222,883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Political subdivisions of States, Territories and Possessions</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498,638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500,730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304,111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(29,111)</w:t>
            </w:r>
          </w:p>
        </w:tc>
        <w:tc>
          <w:tcPr>
            <w:tcW w:w="18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(29,111)</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2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5,734,831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(809,746)</w:t>
            </w:r>
          </w:p>
        </w:tc>
        <w:tc>
          <w:tcPr>
            <w:tcW w:w="18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(360,278)</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4,601,775</w:t>
            </w: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(1,133,056)</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$ 7,766,140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67,460</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(872,934)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(360,278)</w:t>
            </w:r>
          </w:p>
        </w:tc>
        <w:tc>
          <w:tcPr>
            <w:tcW w:w="840" w:type="dxa"/>
            <w:vAlign w:val="bottom"/>
          </w:tcPr>
          <w:p>
            <w:pPr>
              <w:jc w:val="right"/>
              <w:spacing w:after="0"/>
              <w:rPr>
                <w:sz w:val="20"/>
                <w:szCs w:val="20"/>
                <w:color w:val="auto"/>
              </w:rPr>
            </w:pPr>
            <w:r>
              <w:rPr>
                <w:rFonts w:ascii="Arial" w:cs="Arial" w:eastAsia="Arial" w:hAnsi="Arial"/>
                <w:sz w:val="18"/>
                <w:szCs w:val="18"/>
                <w:color w:val="auto"/>
                <w:w w:val="81"/>
              </w:rPr>
              <w:t>$ 6,600,388</w:t>
            </w: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 (1,165,752)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held-to-maturity securities by contractual maturity as of March 31, 2023 and December 31, 2022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ind w:left="52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r>
      <w:tr>
        <w:trPr>
          <w:trHeight w:val="191"/>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5"/>
              </w:rPr>
              <w:t>Amortized</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3"/>
              </w:rPr>
              <w:t>Amortized</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Remaining Time to Maturity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09"/>
        </w:trPr>
        <w:tc>
          <w:tcPr>
            <w:tcW w:w="5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747,483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743,575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1,120,700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1,098,253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1,120,507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1,088,522</w:t>
            </w: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1,200,720</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4,529,972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3,763,928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4,534,394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3,567,571</w:t>
            </w:r>
          </w:p>
        </w:tc>
        <w:tc>
          <w:tcPr>
            <w:tcW w:w="100" w:type="dxa"/>
            <w:vAlign w:val="bottom"/>
          </w:tcPr>
          <w:p>
            <w:pPr>
              <w:spacing w:after="0"/>
              <w:rPr>
                <w:sz w:val="18"/>
                <w:szCs w:val="18"/>
                <w:color w:val="auto"/>
              </w:rPr>
            </w:pPr>
          </w:p>
        </w:tc>
      </w:tr>
      <w:tr>
        <w:trPr>
          <w:trHeight w:val="250"/>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7,765,096</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7,766,140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6,600,388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616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Investment Income</w:t>
            </w:r>
          </w:p>
        </w:tc>
        <w:tc>
          <w:tcPr>
            <w:tcW w:w="6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440" w:type="dxa"/>
            <w:vAlign w:val="bottom"/>
            <w:gridSpan w:val="3"/>
          </w:tcPr>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8"/>
                <w:szCs w:val="18"/>
                <w:color w:val="auto"/>
              </w:rPr>
            </w:pPr>
          </w:p>
        </w:tc>
      </w:tr>
      <w:tr>
        <w:trPr>
          <w:trHeight w:val="426"/>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Income:</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1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1,417,709</w:t>
            </w:r>
          </w:p>
        </w:tc>
        <w:tc>
          <w:tcPr>
            <w:tcW w:w="5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1,140,189</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176,877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345,168</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4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1,627,444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1,485,540</w:t>
            </w:r>
          </w:p>
        </w:tc>
        <w:tc>
          <w:tcPr>
            <w:tcW w:w="100" w:type="dxa"/>
            <w:vAlign w:val="bottom"/>
          </w:tcPr>
          <w:p>
            <w:pPr>
              <w:spacing w:after="0"/>
              <w:rPr>
                <w:sz w:val="18"/>
                <w:szCs w:val="18"/>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Investment expenses</w:t>
            </w: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85,952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126,440</w:t>
            </w:r>
          </w:p>
        </w:tc>
        <w:tc>
          <w:tcPr>
            <w:tcW w:w="100" w:type="dxa"/>
            <w:vAlign w:val="bottom"/>
          </w:tcPr>
          <w:p>
            <w:pPr>
              <w:spacing w:after="0"/>
              <w:rPr>
                <w:sz w:val="18"/>
                <w:szCs w:val="18"/>
                <w:color w:val="auto"/>
              </w:rPr>
            </w:pPr>
          </w:p>
        </w:tc>
      </w:tr>
      <w:tr>
        <w:trPr>
          <w:trHeight w:val="250"/>
        </w:trPr>
        <w:tc>
          <w:tcPr>
            <w:tcW w:w="7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1,541,492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1,359,100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the redemption of fixed-maturity securities held-to-maturity were $-0- and $500,000 for the three months ended March 31, 2023 and 2022,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the sale or maturity of fixed-maturity securities available-for-sale were $13,554,928 and $10,181,658 for the three months ended March 31,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$75,554 and $4,994,884 for the three months ended March 31, 2023 and 2022,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7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660" w:type="dxa"/>
            <w:vAlign w:val="bottom"/>
            <w:gridSpan w:val="2"/>
          </w:tcPr>
          <w:p>
            <w:pPr>
              <w:spacing w:after="0"/>
              <w:rPr>
                <w:sz w:val="20"/>
                <w:szCs w:val="20"/>
                <w:color w:val="auto"/>
              </w:rPr>
            </w:pPr>
            <w:r>
              <w:rPr>
                <w:rFonts w:ascii="Arial" w:cs="Arial" w:eastAsia="Arial" w:hAnsi="Arial"/>
                <w:sz w:val="18"/>
                <w:szCs w:val="18"/>
                <w:color w:val="auto"/>
              </w:rPr>
              <w:t>The Company’s net gains (losses) on investments are summarized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Realized Gains (Losses)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(126,424)</w:t>
            </w:r>
          </w:p>
        </w:tc>
        <w:tc>
          <w:tcPr>
            <w:tcW w:w="0" w:type="dxa"/>
            <w:vAlign w:val="bottom"/>
          </w:tcPr>
          <w:p>
            <w:pPr>
              <w:spacing w:after="0"/>
              <w:rPr>
                <w:sz w:val="1"/>
                <w:szCs w:val="1"/>
                <w:color w:val="auto"/>
              </w:rPr>
            </w:pP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Gross realized gains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(329,221)</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73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119,085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gridSpan w:val="2"/>
          </w:tcPr>
          <w:p>
            <w:pPr>
              <w:ind w:left="220"/>
              <w:spacing w:after="0"/>
              <w:rPr>
                <w:sz w:val="20"/>
                <w:szCs w:val="20"/>
                <w:color w:val="auto"/>
              </w:rPr>
            </w:pPr>
            <w:r>
              <w:rPr>
                <w:rFonts w:ascii="Arial" w:cs="Arial" w:eastAsia="Arial" w:hAnsi="Arial"/>
                <w:sz w:val="18"/>
                <w:szCs w:val="18"/>
                <w:color w:val="auto"/>
              </w:rPr>
              <w:t>Net realized (losses) gains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Unrealized Gains (Losses)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gains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Gross losses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(3,560,634)</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863,713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(3,560,634)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Gross gains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(915,532)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(915,532)</w:t>
            </w:r>
          </w:p>
        </w:tc>
        <w:tc>
          <w:tcPr>
            <w:tcW w:w="0" w:type="dxa"/>
            <w:vAlign w:val="bottom"/>
          </w:tcPr>
          <w:p>
            <w:pPr>
              <w:spacing w:after="0"/>
              <w:rPr>
                <w:sz w:val="1"/>
                <w:szCs w:val="1"/>
                <w:color w:val="auto"/>
              </w:rPr>
            </w:pPr>
          </w:p>
        </w:tc>
      </w:tr>
      <w:tr>
        <w:trPr>
          <w:trHeight w:val="210"/>
        </w:trPr>
        <w:tc>
          <w:tcPr>
            <w:tcW w:w="8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unrealized gains (losses)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1,227,510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(4,476,166)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gridSpan w:val="2"/>
          </w:tcPr>
          <w:p>
            <w:pPr>
              <w:spacing w:after="0"/>
              <w:rPr>
                <w:sz w:val="20"/>
                <w:szCs w:val="20"/>
                <w:color w:val="auto"/>
              </w:rPr>
            </w:pPr>
            <w:r>
              <w:rPr>
                <w:rFonts w:ascii="Arial" w:cs="Arial" w:eastAsia="Arial" w:hAnsi="Arial"/>
                <w:sz w:val="18"/>
                <w:szCs w:val="18"/>
                <w:color w:val="auto"/>
              </w:rPr>
              <w:t>Net gains (losses) on investments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1,224,871</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(4,398,405)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available-for-sale fixed maturity securities, a credit loss exists if the present value of cash flows expected to be collected is less than the amortized cost basis. The allowance for credit loss related to available-for-sale fixed maturity securities is the difference between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Changes in the allowance are presented as a component of net gains (losses) on investments on the accompanying condensed consolidated statements of operations and comprehensive income (loss).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2023 and December 31, 2022, there were 152 and 155 fixed-maturity securities, respectively, that accounted for the gross unrealized losses. The Company determined that none of the unrealized losses were deemed to be credit losses for its portfolio of investments for the three months ended March 31, 2023 and 2022.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March 31, 2023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rPr>
              <w:t>March 31, 2023</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Less than 12 months</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12 months or more</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9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Unrealized</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Unrealized</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Unrealized</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Losses</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Held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Losses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7"/>
              </w:rPr>
              <w:t>Held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Losses</w:t>
            </w:r>
          </w:p>
        </w:tc>
        <w:tc>
          <w:tcPr>
            <w:tcW w:w="0" w:type="dxa"/>
            <w:vAlign w:val="bottom"/>
          </w:tcPr>
          <w:p>
            <w:pPr>
              <w:spacing w:after="0"/>
              <w:rPr>
                <w:sz w:val="1"/>
                <w:szCs w:val="1"/>
                <w:color w:val="auto"/>
              </w:rPr>
            </w:pPr>
          </w:p>
        </w:tc>
      </w:tr>
      <w:tr>
        <w:trPr>
          <w:trHeight w:val="426"/>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U.S. Treasury securities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1"/>
              </w:rPr>
              <w:t>government corporations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5,542,768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5,542,768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549,276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13,205,628</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(3,338,913)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13,754,904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(3,344,066)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Corporate and other bonds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4"/>
              </w:rPr>
              <w:t>industrial and miscellaneous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24,592,198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(777,717)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48,415,831</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(6,479,111)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73,008,029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(7,256,828)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8,454,568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(496,219)</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36,667,595</w:t>
            </w:r>
          </w:p>
        </w:tc>
        <w:tc>
          <w:tcPr>
            <w:tcW w:w="14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(6,739,006)</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45,122,163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9"/>
              </w:rPr>
              <w:t>(7,235,225)</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asset 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2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fixed-maturity</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39,138,810</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1"/>
              </w:rPr>
              <w:t>(1,279,763)</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98,289,054</w:t>
            </w:r>
          </w:p>
        </w:tc>
        <w:tc>
          <w:tcPr>
            <w:tcW w:w="14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(16,557,030)</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7"/>
              </w:rPr>
              <w:t>137,427,864</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0"/>
              </w:rPr>
              <w:t>(17,836,793)</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securities</w:t>
            </w:r>
          </w:p>
        </w:tc>
        <w:tc>
          <w:tcPr>
            <w:tcW w:w="2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2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2022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December 31, 2022</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Less than 12 months</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12 months or more</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Unrealized</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Held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U.S. Treasury securities and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government corporations and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$ 18,918,196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18,918,196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7,970,633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(2,195,273)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5,170,753</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(1,771,494)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13,141,386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(3,966,767)</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industrial and miscellaneous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56,910,104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(5,796,994)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15,172,381</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(2,458,985)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72,082,485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(8,255,979)</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10,145,880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(882,664)</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34,753,178</w:t>
            </w:r>
          </w:p>
        </w:tc>
        <w:tc>
          <w:tcPr>
            <w:tcW w:w="13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(7,150,803)</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44,899,058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9"/>
              </w:rPr>
              <w:t>(8,033,467)</w:t>
            </w:r>
          </w:p>
        </w:tc>
        <w:tc>
          <w:tcPr>
            <w:tcW w:w="0" w:type="dxa"/>
            <w:vAlign w:val="bottom"/>
          </w:tcPr>
          <w:p>
            <w:pPr>
              <w:spacing w:after="0"/>
              <w:rPr>
                <w:sz w:val="1"/>
                <w:szCs w:val="1"/>
                <w:color w:val="auto"/>
              </w:rPr>
            </w:pPr>
          </w:p>
        </w:tc>
      </w:tr>
      <w:tr>
        <w:trPr>
          <w:trHeight w:val="217"/>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other asset backed securities</w:t>
            </w: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gridSpan w:val="2"/>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fixed-maturity</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5"/>
              </w:rPr>
              <w:t>$ 93,944,813</w:t>
            </w:r>
          </w:p>
        </w:tc>
        <w:tc>
          <w:tcPr>
            <w:tcW w:w="2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1"/>
              </w:rPr>
              <w:t>(8,881,859)</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55,096,312</w:t>
            </w:r>
          </w:p>
        </w:tc>
        <w:tc>
          <w:tcPr>
            <w:tcW w:w="13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 (11,381,282)</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7"/>
              </w:rPr>
              <w:t>149,041,125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0"/>
              </w:rPr>
              <w:t>(20,263,141)</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securities</w:t>
            </w:r>
          </w:p>
        </w:tc>
        <w:tc>
          <w:tcPr>
            <w:tcW w:w="9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Company’s investments that are measured at fair value on a recurring basis at March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indicating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March 31, 2023</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26"/>
        </w:trPr>
        <w:tc>
          <w:tcPr>
            <w:tcW w:w="5960" w:type="dxa"/>
            <w:vAlign w:val="bottom"/>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U.S. Treasury securities and obligations of U.S. government corporations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agencies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22,023,463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22,023,463</w:t>
            </w:r>
          </w:p>
        </w:tc>
        <w:tc>
          <w:tcPr>
            <w:tcW w:w="100" w:type="dxa"/>
            <w:vAlign w:val="bottom"/>
            <w:shd w:val="clear" w:color="auto" w:fill="CCEEFF"/>
          </w:tcPr>
          <w:p>
            <w:pPr>
              <w:spacing w:after="0"/>
              <w:rPr>
                <w:sz w:val="20"/>
                <w:szCs w:val="20"/>
                <w:color w:val="auto"/>
              </w:rPr>
            </w:pPr>
          </w:p>
        </w:tc>
      </w:tr>
      <w:tr>
        <w:trPr>
          <w:trHeight w:val="216"/>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13,754,903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13,754,903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73,008,028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73,008,028</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45,854,925</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45,854,925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Total fixed maturities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95,031,491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59,609,828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154,641,319</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14,622,549</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14,622,549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109,654,040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59,609,828</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169,263,868</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840" w:type="dxa"/>
            <w:vAlign w:val="bottom"/>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U.S. Treasury securities and obligations of U.S. government corporations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agencies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23,869,096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23,869,096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13,141,387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71,585,115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497,370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72,082,485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45,622,195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Total fixed maturities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95,454,211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59,260,952</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154,715,163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13,834,390</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13,834,390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Total investments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109,288,601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59,260,952</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168,549,553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55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Company’s investment in a hedge fund measured at Net Asset Value (“NAV”) per share as of March 31, 2023 and December 31, 2022. The Company measures this investment at fair value on a recurring basis. Fair value using NAV per share is as follows as of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March 31, 2023</w:t>
            </w:r>
          </w:p>
        </w:tc>
        <w:tc>
          <w:tcPr>
            <w:tcW w:w="22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2022</w:t>
            </w:r>
          </w:p>
        </w:tc>
        <w:tc>
          <w:tcPr>
            <w:tcW w:w="100" w:type="dxa"/>
            <w:vAlign w:val="bottom"/>
          </w:tcPr>
          <w:p>
            <w:pPr>
              <w:spacing w:after="0"/>
              <w:rPr>
                <w:sz w:val="20"/>
                <w:szCs w:val="20"/>
                <w:color w:val="auto"/>
              </w:rPr>
            </w:pPr>
          </w:p>
        </w:tc>
      </w:tr>
      <w:tr>
        <w:trPr>
          <w:trHeight w:val="425"/>
        </w:trPr>
        <w:tc>
          <w:tcPr>
            <w:tcW w:w="7640" w:type="dxa"/>
            <w:vAlign w:val="bottom"/>
          </w:tcPr>
          <w:p>
            <w:pPr>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3,135,449</w:t>
            </w:r>
          </w:p>
        </w:tc>
        <w:tc>
          <w:tcPr>
            <w:tcW w:w="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2,771,652</w:t>
            </w:r>
          </w:p>
        </w:tc>
        <w:tc>
          <w:tcPr>
            <w:tcW w:w="100" w:type="dxa"/>
            <w:vAlign w:val="bottom"/>
            <w:shd w:val="clear" w:color="auto" w:fill="CCEEFF"/>
          </w:tcPr>
          <w:p>
            <w:pPr>
              <w:spacing w:after="0"/>
              <w:rPr>
                <w:sz w:val="20"/>
                <w:szCs w:val="20"/>
                <w:color w:val="auto"/>
              </w:rPr>
            </w:pPr>
          </w:p>
        </w:tc>
      </w:tr>
      <w:tr>
        <w:trPr>
          <w:trHeight w:val="20"/>
        </w:trPr>
        <w:tc>
          <w:tcPr>
            <w:tcW w:w="7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income (loss) within net gains (losses) on investments.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 and the level of the fair value hierarchy of the Company’s long-term debt as of March 31, 2023 and December 31, 2022 not measured at fair value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March 31, 2023</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Debt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2024</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16,361,057</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16,361,057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Debt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2024</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15,829,096</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15,829,096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fair values of the Company’s financial instruments and real estate, including their fair value level as of March 31,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6"/>
          </w:tcPr>
          <w:p>
            <w:pPr>
              <w:ind w:left="48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r>
      <w:tr>
        <w:trPr>
          <w:trHeight w:val="191"/>
        </w:trPr>
        <w:tc>
          <w:tcPr>
            <w:tcW w:w="4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Carrying</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46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securities-held-to maturity, Level 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7,765,096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6,825,609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7,766,140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6,600,388</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Cash and cash equivalents, Level 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10,500,753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10,500,753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11,958,228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11,958,228</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net, Level 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13,339,037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13,339,037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13,880,504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13,880,504</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Reinsurance receivables, net, Level 3</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78,018,606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78,018,606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66,465,061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66,465,061</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Real estate, net of accumulated depreciation, Level 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2,052,283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2,050,644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100" w:type="dxa"/>
            <w:vAlign w:val="bottom"/>
            <w:shd w:val="clear" w:color="auto" w:fill="CCEEFF"/>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Reinsurance balances payable, Level 3</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20,110,212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20,110,212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13,061,966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13,061,966</w:t>
            </w:r>
          </w:p>
        </w:tc>
        <w:tc>
          <w:tcPr>
            <w:tcW w:w="100" w:type="dxa"/>
            <w:vAlign w:val="bottom"/>
          </w:tcPr>
          <w:p>
            <w:pPr>
              <w:spacing w:after="0"/>
              <w:rPr>
                <w:sz w:val="20"/>
                <w:szCs w:val="20"/>
                <w:color w:val="auto"/>
              </w:rPr>
            </w:pPr>
          </w:p>
        </w:tc>
      </w:tr>
      <w:tr>
        <w:trPr>
          <w:trHeight w:val="634"/>
        </w:trPr>
        <w:tc>
          <w:tcPr>
            <w:tcW w:w="4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6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Premiums Earned</w:t>
            </w:r>
          </w:p>
        </w:tc>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94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Direct</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Assumed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Ceded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4"/>
                <w:szCs w:val="24"/>
                <w:color w:val="auto"/>
              </w:rPr>
            </w:pPr>
          </w:p>
        </w:tc>
      </w:tr>
      <w:tr>
        <w:trPr>
          <w:trHeight w:val="426"/>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March 31, 2023</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Premiums written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47,597,446</w:t>
            </w:r>
          </w:p>
        </w:tc>
        <w:tc>
          <w:tcPr>
            <w:tcW w:w="1220" w:type="dxa"/>
            <w:vAlign w:val="bottom"/>
            <w:gridSpan w:val="2"/>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7"/>
              </w:rPr>
              <w:t>(23,628,699)</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23,968,747</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gridSpan w:val="3"/>
          </w:tcPr>
          <w:p>
            <w:pPr>
              <w:ind w:left="22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2,332,884</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1,953,322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4,286,206</w:t>
            </w:r>
          </w:p>
        </w:tc>
        <w:tc>
          <w:tcPr>
            <w:tcW w:w="100" w:type="dxa"/>
            <w:vAlign w:val="bottom"/>
          </w:tcPr>
          <w:p>
            <w:pPr>
              <w:spacing w:after="0"/>
              <w:rPr>
                <w:sz w:val="18"/>
                <w:szCs w:val="18"/>
                <w:color w:val="auto"/>
              </w:rPr>
            </w:pPr>
          </w:p>
        </w:tc>
      </w:tr>
      <w:tr>
        <w:trPr>
          <w:trHeight w:val="217"/>
        </w:trPr>
        <w:tc>
          <w:tcPr>
            <w:tcW w:w="5940" w:type="dxa"/>
            <w:vAlign w:val="bottom"/>
            <w:tcBorders>
              <w:bottom w:val="single" w:sz="8" w:color="CCEEFF"/>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49,930,330</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(21,675,377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28,254,953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gridSpan w:val="3"/>
          </w:tcPr>
          <w:p>
            <w:pPr>
              <w:ind w:left="220"/>
              <w:spacing w:after="0"/>
              <w:rPr>
                <w:sz w:val="20"/>
                <w:szCs w:val="20"/>
                <w:color w:val="auto"/>
              </w:rPr>
            </w:pPr>
            <w:r>
              <w:rPr>
                <w:rFonts w:ascii="Arial" w:cs="Arial" w:eastAsia="Arial" w:hAnsi="Arial"/>
                <w:sz w:val="18"/>
                <w:szCs w:val="18"/>
                <w:color w:val="auto"/>
              </w:rPr>
              <w:t>Premiums written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42,983,897</w:t>
            </w:r>
          </w:p>
        </w:tc>
        <w:tc>
          <w:tcPr>
            <w:tcW w:w="1220" w:type="dxa"/>
            <w:vAlign w:val="bottom"/>
            <w:gridSpan w:val="2"/>
          </w:tcPr>
          <w:p>
            <w:pPr>
              <w:jc w:val="right"/>
              <w:ind w:right="838"/>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w w:val="97"/>
              </w:rPr>
              <w:t>(18,065,709)</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24,918,188</w:t>
            </w:r>
          </w:p>
        </w:tc>
        <w:tc>
          <w:tcPr>
            <w:tcW w:w="100" w:type="dxa"/>
            <w:vAlign w:val="bottom"/>
          </w:tcPr>
          <w:p>
            <w:pPr>
              <w:spacing w:after="0"/>
              <w:rPr>
                <w:sz w:val="18"/>
                <w:szCs w:val="18"/>
                <w:color w:val="auto"/>
              </w:rPr>
            </w:pPr>
          </w:p>
        </w:tc>
      </w:tr>
      <w:tr>
        <w:trPr>
          <w:trHeight w:val="216"/>
        </w:trPr>
        <w:tc>
          <w:tcPr>
            <w:tcW w:w="594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2,392,727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(637,535)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1,755,192</w:t>
            </w:r>
          </w:p>
        </w:tc>
        <w:tc>
          <w:tcPr>
            <w:tcW w:w="100" w:type="dxa"/>
            <w:vAlign w:val="bottom"/>
            <w:shd w:val="clear" w:color="auto" w:fill="CCEEFF"/>
          </w:tcPr>
          <w:p>
            <w:pPr>
              <w:spacing w:after="0"/>
              <w:rPr>
                <w:sz w:val="18"/>
                <w:szCs w:val="18"/>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40" w:type="dxa"/>
            <w:vAlign w:val="bottom"/>
            <w:gridSpan w:val="3"/>
          </w:tcPr>
          <w:p>
            <w:pPr>
              <w:ind w:left="220"/>
              <w:spacing w:after="0"/>
              <w:rPr>
                <w:sz w:val="20"/>
                <w:szCs w:val="20"/>
                <w:color w:val="auto"/>
              </w:rPr>
            </w:pPr>
            <w:r>
              <w:rPr>
                <w:rFonts w:ascii="Arial" w:cs="Arial" w:eastAsia="Arial" w:hAnsi="Arial"/>
                <w:sz w:val="18"/>
                <w:szCs w:val="18"/>
                <w:color w:val="auto"/>
              </w:rPr>
              <w:t>Premiums earned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45,376,624</w:t>
            </w:r>
          </w:p>
        </w:tc>
        <w:tc>
          <w:tcPr>
            <w:tcW w:w="1220" w:type="dxa"/>
            <w:vAlign w:val="bottom"/>
            <w:gridSpan w:val="2"/>
          </w:tcPr>
          <w:p>
            <w:pPr>
              <w:jc w:val="right"/>
              <w:ind w:right="838"/>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w w:val="97"/>
              </w:rPr>
              <w:t>(18,703,244)</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26,673,380</w:t>
            </w:r>
          </w:p>
        </w:tc>
        <w:tc>
          <w:tcPr>
            <w:tcW w:w="100" w:type="dxa"/>
            <w:vAlign w:val="bottom"/>
          </w:tcPr>
          <w:p>
            <w:pPr>
              <w:spacing w:after="0"/>
              <w:rPr>
                <w:sz w:val="18"/>
                <w:szCs w:val="18"/>
                <w:color w:val="auto"/>
              </w:rPr>
            </w:pPr>
          </w:p>
        </w:tc>
      </w:tr>
      <w:tr>
        <w:trPr>
          <w:trHeight w:val="27"/>
        </w:trPr>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March 31, 2023 and December 31, 2022 was $5,660,391 and $2,839,028,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w:t>
            </w:r>
          </w:p>
        </w:tc>
      </w:tr>
      <w:tr>
        <w:trPr>
          <w:trHeight w:val="209"/>
        </w:trPr>
        <w:tc>
          <w:tcPr>
            <w:tcW w:w="5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33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118,339,513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94,948,745</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(27,659,500)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(10,637,679)</w:t>
            </w: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3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90,680,013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84,311,066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Current year</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25,042,531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22,944,869</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(3,671)</w:t>
            </w:r>
          </w:p>
        </w:tc>
      </w:tr>
      <w:tr>
        <w:trPr>
          <w:trHeight w:val="210"/>
        </w:trPr>
        <w:tc>
          <w:tcPr>
            <w:tcW w:w="5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incurred</w:t>
            </w:r>
          </w:p>
        </w:tc>
        <w:tc>
          <w:tcPr>
            <w:tcW w:w="31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25,039,410</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22,941,198</w:t>
            </w:r>
          </w:p>
        </w:tc>
        <w:tc>
          <w:tcPr>
            <w:tcW w:w="100" w:type="dxa"/>
            <w:vAlign w:val="bottom"/>
            <w:tcBorders>
              <w:top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Paid related to:</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9,283,972</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Prior years</w:t>
            </w:r>
          </w:p>
        </w:tc>
        <w:tc>
          <w:tcPr>
            <w:tcW w:w="3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16,116,681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14,918,035</w:t>
            </w:r>
          </w:p>
        </w:tc>
        <w:tc>
          <w:tcPr>
            <w:tcW w:w="100" w:type="dxa"/>
            <w:vAlign w:val="bottom"/>
          </w:tcPr>
          <w:p>
            <w:pPr>
              <w:spacing w:after="0"/>
              <w:rPr>
                <w:sz w:val="18"/>
                <w:szCs w:val="18"/>
                <w:color w:val="auto"/>
              </w:rPr>
            </w:pP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paid</w:t>
            </w:r>
          </w:p>
        </w:tc>
        <w:tc>
          <w:tcPr>
            <w:tcW w:w="3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22,002,969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24,202,007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93,716,454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83,050,257</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3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30,405,364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15,866,741</w:t>
            </w:r>
          </w:p>
        </w:tc>
        <w:tc>
          <w:tcPr>
            <w:tcW w:w="100" w:type="dxa"/>
            <w:vAlign w:val="bottom"/>
          </w:tcPr>
          <w:p>
            <w:pPr>
              <w:spacing w:after="0"/>
              <w:rPr>
                <w:sz w:val="18"/>
                <w:szCs w:val="18"/>
                <w:color w:val="auto"/>
              </w:rPr>
            </w:pPr>
          </w:p>
        </w:tc>
      </w:tr>
      <w:tr>
        <w:trPr>
          <w:trHeight w:val="25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124,121,818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98,916,998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losses and LAE are net of reinsurance recoveries under reinsurance contracts of $12,256,426 and $10,404,866 for the three months ended March 31, 2023 and 2022,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three months ended March 31, 2023 and 2022 was $3,121 favorable and $3,671 favorable, respectively. Management, on a quarterly basis, performs a review of open liability claims to assess carried case and incurred but not reported (“IBNR”) reserve levels, giving consideration to both Company and industry trends.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Paid Loss Development </w:t>
      </w:r>
      <w:r>
        <w:rPr>
          <w:rFonts w:ascii="Arial" w:cs="Arial" w:eastAsia="Arial" w:hAnsi="Arial"/>
          <w:sz w:val="16"/>
          <w:szCs w:val="16"/>
          <w:color w:val="auto"/>
        </w:rPr>
        <w:t>– historical patterns of paid loss development are used to project future paid loss emergence in order to estimate required reserves.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incurred loss emergence in order to estimate required reserves.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Paid Bornhuetter-Ferguson (“BF”) </w:t>
      </w:r>
      <w:r>
        <w:rPr>
          <w:rFonts w:ascii="Arial" w:cs="Arial" w:eastAsia="Arial" w:hAnsi="Arial"/>
          <w:sz w:val="17"/>
          <w:szCs w:val="17"/>
          <w:color w:val="auto"/>
        </w:rPr>
        <w:t>– an estimated loss ratio for a particular accident year is determined, and is weighted against the portion of the accident</w:t>
      </w:r>
      <w:r>
        <w:rPr>
          <w:rFonts w:ascii="Arial" w:cs="Arial" w:eastAsia="Arial" w:hAnsi="Arial"/>
          <w:sz w:val="17"/>
          <w:szCs w:val="17"/>
          <w:i w:val="1"/>
          <w:iCs w:val="1"/>
          <w:color w:val="auto"/>
        </w:rPr>
        <w:t xml:space="preserve"> </w:t>
      </w:r>
      <w:r>
        <w:rPr>
          <w:rFonts w:ascii="Arial" w:cs="Arial" w:eastAsia="Arial" w:hAnsi="Arial"/>
          <w:sz w:val="17"/>
          <w:szCs w:val="17"/>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 reviewed</w:t>
      </w:r>
      <w:r>
        <w:rPr>
          <w:rFonts w:ascii="Arial" w:cs="Arial" w:eastAsia="Arial" w:hAnsi="Arial"/>
          <w:sz w:val="18"/>
          <w:szCs w:val="18"/>
          <w:i w:val="1"/>
          <w:iCs w:val="1"/>
          <w:color w:val="auto"/>
        </w:rPr>
        <w:t xml:space="preserve"> </w:t>
      </w:r>
      <w:r>
        <w:rPr>
          <w:rFonts w:ascii="Arial" w:cs="Arial" w:eastAsia="Arial" w:hAnsi="Arial"/>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Frequency / Severity Based Methods </w:t>
      </w:r>
      <w:r>
        <w:rPr>
          <w:rFonts w:ascii="Arial" w:cs="Arial" w:eastAsia="Arial" w:hAnsi="Arial"/>
          <w:sz w:val="18"/>
          <w:szCs w:val="18"/>
          <w:color w:val="auto"/>
        </w:rPr>
        <w:t>– historical measurements of claim frequency and average paid claim size (severity) are reviewed for more mature</w:t>
      </w:r>
      <w:r>
        <w:rPr>
          <w:rFonts w:ascii="Arial" w:cs="Arial" w:eastAsia="Arial" w:hAnsi="Arial"/>
          <w:sz w:val="18"/>
          <w:szCs w:val="18"/>
          <w:i w:val="1"/>
          <w:iCs w:val="1"/>
          <w:color w:val="auto"/>
        </w:rPr>
        <w:t xml:space="preserve"> </w:t>
      </w:r>
      <w:r>
        <w:rPr>
          <w:rFonts w:ascii="Arial" w:cs="Arial" w:eastAsia="Arial" w:hAnsi="Arial"/>
          <w:sz w:val="18"/>
          <w:szCs w:val="18"/>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COVID-19 has introduced additional uncertainty to recent claim trends. The Company reviews the carried reserves levels on a regular basis as additional information becomes available and makes adjustments in the periods in which such adjustments are determined to be necessary. The Company is not aware of any other claim trends that have emerged or that would cause future adverse development that have not already been contemplated in setting current carried reserves levels.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2020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information about incurred and paid claims development as of March 31, 2023, net of reinsurance, as well as the cumulative reported claims by accident year and total IBNR reserves as of March 31, 2023 included in the net incurred loss and allocated expense amounts. The historical information regarding incurred and paid claims development for the years ended December 31, 2014 to December 31, 2022 is presented as supplementary unaudited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jc w:val="center"/>
              <w:ind w:right="61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gridSpan w:val="28"/>
          </w:tcPr>
          <w:p>
            <w:pPr>
              <w:jc w:val="center"/>
              <w:ind w:right="20"/>
              <w:spacing w:after="0"/>
              <w:rPr>
                <w:sz w:val="20"/>
                <w:szCs w:val="20"/>
                <w:color w:val="auto"/>
              </w:rPr>
            </w:pPr>
            <w:r>
              <w:rPr>
                <w:rFonts w:ascii="Arial" w:cs="Arial" w:eastAsia="Arial" w:hAnsi="Arial"/>
                <w:sz w:val="18"/>
                <w:szCs w:val="18"/>
                <w:b w:val="1"/>
                <w:bCs w:val="1"/>
                <w:color w:val="auto"/>
                <w:w w:val="88"/>
              </w:rPr>
              <w:t>Incurred Loss and Allocated Loss Adjustment Expenses, Net of Reinsurance</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7"/>
          </w:tcPr>
          <w:p>
            <w:pPr>
              <w:jc w:val="center"/>
              <w:ind w:right="1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2"/>
              </w:rPr>
              <w:t>Cumulative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3"/>
              </w:rPr>
              <w:t>Three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3"/>
              </w:rPr>
              <w:t>Months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gridSpan w:val="13"/>
            <w:vMerge w:val="restart"/>
          </w:tcPr>
          <w:p>
            <w:pPr>
              <w:jc w:val="center"/>
              <w:spacing w:after="0"/>
              <w:rPr>
                <w:sz w:val="20"/>
                <w:szCs w:val="20"/>
                <w:color w:val="auto"/>
              </w:rPr>
            </w:pPr>
            <w:r>
              <w:rPr>
                <w:rFonts w:ascii="Arial" w:cs="Arial" w:eastAsia="Arial" w:hAnsi="Arial"/>
                <w:sz w:val="18"/>
                <w:szCs w:val="18"/>
                <w:b w:val="1"/>
                <w:bCs w:val="1"/>
                <w:color w:val="auto"/>
                <w:w w:val="89"/>
              </w:rPr>
              <w:t>For the Years Ended December 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1"/>
              </w:rPr>
              <w:t>Claims by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13"/>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3"/>
              </w:rPr>
              <w:t>March 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Accident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18"/>
                <w:szCs w:val="18"/>
                <w:color w:val="auto"/>
              </w:rPr>
            </w:pPr>
          </w:p>
        </w:tc>
        <w:tc>
          <w:tcPr>
            <w:tcW w:w="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200" w:type="dxa"/>
            <w:vAlign w:val="bottom"/>
            <w:gridSpan w:val="2"/>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IBNR</w:t>
            </w:r>
          </w:p>
        </w:tc>
        <w:tc>
          <w:tcPr>
            <w:tcW w:w="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11"/>
          </w:tcPr>
          <w:p>
            <w:pPr>
              <w:jc w:val="center"/>
              <w:ind w:right="220"/>
              <w:spacing w:after="0"/>
              <w:rPr>
                <w:sz w:val="20"/>
                <w:szCs w:val="20"/>
                <w:color w:val="auto"/>
              </w:rPr>
            </w:pPr>
            <w:r>
              <w:rPr>
                <w:rFonts w:ascii="Arial" w:cs="Arial" w:eastAsia="Arial" w:hAnsi="Arial"/>
                <w:sz w:val="18"/>
                <w:szCs w:val="18"/>
                <w:b w:val="1"/>
                <w:bCs w:val="1"/>
                <w:color w:val="auto"/>
                <w:w w:val="91"/>
              </w:rPr>
              <w:t>(Unaudited 2014 - 2022)</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0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6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2"/>
              </w:rPr>
              <w:t>$ 14,193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$ 14,260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$ 14,218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$ 14,564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2"/>
              </w:rPr>
              <w:t>$ 15,023</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$ 16,381</w:t>
            </w:r>
          </w:p>
        </w:tc>
        <w:tc>
          <w:tcPr>
            <w:tcW w:w="2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2"/>
              </w:rPr>
              <w:t>$ 16,428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$ 16,434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$ 16,486</w:t>
            </w: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16,486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1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22,340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21,994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22,148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22,491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23,386</w:t>
            </w:r>
          </w:p>
        </w:tc>
        <w:tc>
          <w:tcPr>
            <w:tcW w:w="22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23,291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23,528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23,533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23,553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26,062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24,789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27,887</w:t>
            </w:r>
          </w:p>
        </w:tc>
        <w:tc>
          <w:tcPr>
            <w:tcW w:w="2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27,966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27,352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27,246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16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31,605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32,169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35,304</w:t>
            </w:r>
          </w:p>
        </w:tc>
        <w:tc>
          <w:tcPr>
            <w:tcW w:w="22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36,160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36,532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36,502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36,456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54,455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56,351</w:t>
            </w:r>
          </w:p>
        </w:tc>
        <w:tc>
          <w:tcPr>
            <w:tcW w:w="2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58,441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59,404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61,237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61,231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16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75,092</w:t>
            </w:r>
          </w:p>
        </w:tc>
        <w:tc>
          <w:tcPr>
            <w:tcW w:w="22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72,368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71,544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71,964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72,295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2,180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63,083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62,833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63,217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63,266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16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96,425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96,673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96,305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6,733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79,835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79,966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11,460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16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23,738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8,184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4"/>
              </w:rPr>
              <w:t>Total</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500,541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120" w:type="dxa"/>
            <w:vAlign w:val="bottom"/>
            <w:tcBorders>
              <w:top w:val="single" w:sz="8" w:color="CCEEFF"/>
            </w:tcBorders>
            <w:gridSpan w:val="8"/>
          </w:tcPr>
          <w:p>
            <w:pPr>
              <w:spacing w:after="0"/>
              <w:rPr>
                <w:sz w:val="20"/>
                <w:szCs w:val="20"/>
                <w:color w:val="auto"/>
              </w:rPr>
            </w:pPr>
            <w:r>
              <w:rPr>
                <w:rFonts w:ascii="Arial" w:cs="Arial" w:eastAsia="Arial" w:hAnsi="Arial"/>
                <w:sz w:val="18"/>
                <w:szCs w:val="18"/>
                <w:b w:val="1"/>
                <w:bCs w:val="1"/>
                <w:color w:val="auto"/>
              </w:rPr>
              <w:t>All Lines of Business</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gridSpan w:val="36"/>
          </w:tcPr>
          <w:p>
            <w:pPr>
              <w:jc w:val="right"/>
              <w:spacing w:after="0"/>
              <w:rPr>
                <w:sz w:val="20"/>
                <w:szCs w:val="20"/>
                <w:color w:val="auto"/>
              </w:rPr>
            </w:pPr>
            <w:r>
              <w:rPr>
                <w:rFonts w:ascii="Arial" w:cs="Arial" w:eastAsia="Arial" w:hAnsi="Arial"/>
                <w:sz w:val="18"/>
                <w:szCs w:val="18"/>
                <w:b w:val="1"/>
                <w:bCs w:val="1"/>
                <w:color w:val="auto"/>
                <w:w w:val="95"/>
              </w:rPr>
              <w:t>Cumulative Paid Loss and Allocated Loss Adjustment Expenses, Net of Reinsurance</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Three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14"/>
            <w:vMerge w:val="restart"/>
          </w:tcPr>
          <w:p>
            <w:pPr>
              <w:jc w:val="center"/>
              <w:ind w:right="180"/>
              <w:spacing w:after="0"/>
              <w:rPr>
                <w:sz w:val="20"/>
                <w:szCs w:val="20"/>
                <w:color w:val="auto"/>
              </w:rPr>
            </w:pPr>
            <w:r>
              <w:rPr>
                <w:rFonts w:ascii="Arial" w:cs="Arial" w:eastAsia="Arial" w:hAnsi="Arial"/>
                <w:sz w:val="18"/>
                <w:szCs w:val="18"/>
                <w:b w:val="1"/>
                <w:bCs w:val="1"/>
                <w:color w:val="auto"/>
                <w:w w:val="90"/>
              </w:rPr>
              <w:t>For the Years Ended December 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20" w:type="dxa"/>
            <w:vAlign w:val="bottom"/>
            <w:gridSpan w:val="6"/>
          </w:tcPr>
          <w:p>
            <w:pPr>
              <w:ind w:left="160"/>
              <w:spacing w:after="0"/>
              <w:rPr>
                <w:sz w:val="20"/>
                <w:szCs w:val="20"/>
                <w:color w:val="auto"/>
              </w:rPr>
            </w:pPr>
            <w:r>
              <w:rPr>
                <w:rFonts w:ascii="Arial" w:cs="Arial" w:eastAsia="Arial" w:hAnsi="Arial"/>
                <w:sz w:val="18"/>
                <w:szCs w:val="18"/>
                <w:b w:val="1"/>
                <w:bCs w:val="1"/>
                <w:color w:val="auto"/>
              </w:rPr>
              <w:t>Accident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14"/>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Year</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4"/>
          </w:tcPr>
          <w:p>
            <w:pPr>
              <w:jc w:val="center"/>
              <w:ind w:right="180"/>
              <w:spacing w:after="0"/>
              <w:rPr>
                <w:sz w:val="20"/>
                <w:szCs w:val="20"/>
                <w:color w:val="auto"/>
              </w:rPr>
            </w:pPr>
            <w:r>
              <w:rPr>
                <w:rFonts w:ascii="Arial" w:cs="Arial" w:eastAsia="Arial" w:hAnsi="Arial"/>
                <w:sz w:val="18"/>
                <w:szCs w:val="18"/>
                <w:b w:val="1"/>
                <w:bCs w:val="1"/>
                <w:color w:val="auto"/>
                <w:w w:val="91"/>
              </w:rPr>
              <w:t>(Unaudited 2014 - 2022)</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spacing w:after="0"/>
              <w:rPr>
                <w:sz w:val="18"/>
                <w:szCs w:val="18"/>
                <w:color w:val="auto"/>
              </w:rPr>
            </w:pPr>
          </w:p>
        </w:tc>
        <w:tc>
          <w:tcPr>
            <w:tcW w:w="1020" w:type="dxa"/>
            <w:vAlign w:val="bottom"/>
            <w:gridSpan w:val="5"/>
          </w:tcPr>
          <w:p>
            <w:pPr>
              <w:spacing w:after="0"/>
              <w:rPr>
                <w:sz w:val="18"/>
                <w:szCs w:val="18"/>
                <w:color w:val="auto"/>
              </w:rPr>
            </w:pPr>
          </w:p>
        </w:tc>
        <w:tc>
          <w:tcPr>
            <w:tcW w:w="860" w:type="dxa"/>
            <w:vAlign w:val="bottom"/>
            <w:gridSpan w:val="5"/>
          </w:tcPr>
          <w:p>
            <w:pPr>
              <w:spacing w:after="0"/>
              <w:rPr>
                <w:sz w:val="18"/>
                <w:szCs w:val="18"/>
                <w:color w:val="auto"/>
              </w:rPr>
            </w:pPr>
          </w:p>
        </w:tc>
        <w:tc>
          <w:tcPr>
            <w:tcW w:w="1020" w:type="dxa"/>
            <w:vAlign w:val="bottom"/>
            <w:gridSpan w:val="4"/>
          </w:tcPr>
          <w:p>
            <w:pPr>
              <w:spacing w:after="0"/>
              <w:rPr>
                <w:sz w:val="18"/>
                <w:szCs w:val="18"/>
                <w:color w:val="auto"/>
              </w:rPr>
            </w:pPr>
          </w:p>
        </w:tc>
        <w:tc>
          <w:tcPr>
            <w:tcW w:w="3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340" w:type="dxa"/>
            <w:vAlign w:val="bottom"/>
            <w:gridSpan w:val="3"/>
          </w:tcPr>
          <w:p>
            <w:pPr>
              <w:spacing w:after="0"/>
              <w:rPr>
                <w:sz w:val="18"/>
                <w:szCs w:val="18"/>
                <w:color w:val="auto"/>
              </w:rPr>
            </w:pPr>
          </w:p>
        </w:tc>
        <w:tc>
          <w:tcPr>
            <w:tcW w:w="8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spacing w:after="0"/>
              <w:rPr>
                <w:sz w:val="18"/>
                <w:szCs w:val="18"/>
                <w:color w:val="auto"/>
              </w:rPr>
            </w:pPr>
          </w:p>
        </w:tc>
        <w:tc>
          <w:tcPr>
            <w:tcW w:w="28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2014</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9,429</w:t>
            </w: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10,738</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8"/>
              </w:rPr>
              <w:t>$    11,770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13,819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15,491</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15,770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16,120</w:t>
            </w:r>
          </w:p>
        </w:tc>
        <w:tc>
          <w:tcPr>
            <w:tcW w:w="28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20"/>
              <w:spacing w:after="0"/>
              <w:rPr>
                <w:sz w:val="20"/>
                <w:szCs w:val="20"/>
                <w:color w:val="auto"/>
              </w:rPr>
            </w:pPr>
            <w:r>
              <w:rPr>
                <w:rFonts w:ascii="Arial" w:cs="Arial" w:eastAsia="Arial" w:hAnsi="Arial"/>
                <w:sz w:val="18"/>
                <w:szCs w:val="18"/>
                <w:color w:val="auto"/>
                <w:w w:val="84"/>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12,295</w:t>
            </w:r>
          </w:p>
        </w:tc>
        <w:tc>
          <w:tcPr>
            <w:tcW w:w="1020" w:type="dxa"/>
            <w:vAlign w:val="bottom"/>
            <w:gridSpan w:val="5"/>
          </w:tcPr>
          <w:p>
            <w:pPr>
              <w:jc w:val="right"/>
              <w:ind w:right="140"/>
              <w:spacing w:after="0"/>
              <w:rPr>
                <w:sz w:val="20"/>
                <w:szCs w:val="20"/>
                <w:color w:val="auto"/>
              </w:rPr>
            </w:pPr>
            <w:r>
              <w:rPr>
                <w:rFonts w:ascii="Arial" w:cs="Arial" w:eastAsia="Arial" w:hAnsi="Arial"/>
                <w:sz w:val="18"/>
                <w:szCs w:val="18"/>
                <w:color w:val="auto"/>
              </w:rPr>
              <w:t>16,181</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18,266</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19,984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21,067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87"/>
              </w:rPr>
              <w:t>22,104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22,318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22,473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2016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15,364</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19,001</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21,106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25,234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26,382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20"/>
              <w:spacing w:after="0"/>
              <w:rPr>
                <w:sz w:val="20"/>
                <w:szCs w:val="20"/>
                <w:color w:val="auto"/>
              </w:rPr>
            </w:pPr>
            <w:r>
              <w:rPr>
                <w:rFonts w:ascii="Arial" w:cs="Arial" w:eastAsia="Arial" w:hAnsi="Arial"/>
                <w:sz w:val="18"/>
                <w:szCs w:val="18"/>
                <w:color w:val="auto"/>
                <w:w w:val="84"/>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16,704</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24,820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28,693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87"/>
              </w:rPr>
              <w:t>31,393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32,529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33,522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2018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44,516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50,553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52,025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54,424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20"/>
              <w:spacing w:after="0"/>
              <w:rPr>
                <w:sz w:val="20"/>
                <w:szCs w:val="20"/>
                <w:color w:val="auto"/>
              </w:rPr>
            </w:pPr>
            <w:r>
              <w:rPr>
                <w:rFonts w:ascii="Arial" w:cs="Arial" w:eastAsia="Arial" w:hAnsi="Arial"/>
                <w:sz w:val="18"/>
                <w:szCs w:val="18"/>
                <w:color w:val="auto"/>
                <w:w w:val="84"/>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40,933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87"/>
              </w:rPr>
              <w:t>54,897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58,055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60,374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2020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39,045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53,432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20"/>
              <w:spacing w:after="0"/>
              <w:rPr>
                <w:sz w:val="20"/>
                <w:szCs w:val="20"/>
                <w:color w:val="auto"/>
              </w:rPr>
            </w:pPr>
            <w:r>
              <w:rPr>
                <w:rFonts w:ascii="Arial" w:cs="Arial" w:eastAsia="Arial" w:hAnsi="Arial"/>
                <w:sz w:val="18"/>
                <w:szCs w:val="18"/>
                <w:color w:val="auto"/>
                <w:w w:val="84"/>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56,282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77,756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2022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45,856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20"/>
              <w:spacing w:after="0"/>
              <w:rPr>
                <w:sz w:val="20"/>
                <w:szCs w:val="20"/>
                <w:color w:val="auto"/>
              </w:rPr>
            </w:pPr>
            <w:r>
              <w:rPr>
                <w:rFonts w:ascii="Arial" w:cs="Arial" w:eastAsia="Arial" w:hAnsi="Arial"/>
                <w:sz w:val="18"/>
                <w:szCs w:val="18"/>
                <w:color w:val="auto"/>
                <w:w w:val="84"/>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80" w:type="dxa"/>
            <w:vAlign w:val="bottom"/>
            <w:gridSpan w:val="39"/>
          </w:tcPr>
          <w:p>
            <w:pPr>
              <w:spacing w:after="0"/>
              <w:rPr>
                <w:sz w:val="18"/>
                <w:szCs w:val="18"/>
                <w:color w:val="auto"/>
              </w:rPr>
            </w:pPr>
          </w:p>
        </w:tc>
        <w:tc>
          <w:tcPr>
            <w:tcW w:w="28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580" w:type="dxa"/>
            <w:vAlign w:val="bottom"/>
            <w:gridSpan w:val="39"/>
            <w:shd w:val="clear" w:color="auto" w:fill="CCEEFF"/>
          </w:tcPr>
          <w:p>
            <w:pPr>
              <w:jc w:val="right"/>
              <w:ind w:right="20"/>
              <w:spacing w:after="0"/>
              <w:rPr>
                <w:sz w:val="20"/>
                <w:szCs w:val="20"/>
                <w:color w:val="auto"/>
              </w:rPr>
            </w:pPr>
            <w:r>
              <w:rPr>
                <w:rFonts w:ascii="Arial" w:cs="Arial" w:eastAsia="Arial" w:hAnsi="Arial"/>
                <w:sz w:val="18"/>
                <w:szCs w:val="18"/>
                <w:color w:val="auto"/>
                <w:w w:val="94"/>
              </w:rPr>
              <w:t>Net liability for unpaid loss and allocated loss adjustment expenses for the accident years presented</w:t>
            </w:r>
          </w:p>
        </w:tc>
        <w:tc>
          <w:tcPr>
            <w:tcW w:w="28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gridSpan w:val="24"/>
          </w:tcPr>
          <w:p>
            <w:pPr>
              <w:jc w:val="right"/>
              <w:ind w:right="20"/>
              <w:spacing w:after="0"/>
              <w:rPr>
                <w:sz w:val="20"/>
                <w:szCs w:val="20"/>
                <w:color w:val="auto"/>
              </w:rPr>
            </w:pPr>
            <w:r>
              <w:rPr>
                <w:rFonts w:ascii="Arial" w:cs="Arial" w:eastAsia="Arial" w:hAnsi="Arial"/>
                <w:sz w:val="18"/>
                <w:szCs w:val="18"/>
                <w:color w:val="auto"/>
                <w:w w:val="95"/>
              </w:rPr>
              <w:t>All outstanding liabilities before 2014, net of reinsurance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60" w:type="dxa"/>
            <w:vAlign w:val="bottom"/>
            <w:gridSpan w:val="31"/>
            <w:shd w:val="clear" w:color="auto" w:fill="CCEEFF"/>
          </w:tcPr>
          <w:p>
            <w:pPr>
              <w:jc w:val="right"/>
              <w:ind w:right="20"/>
              <w:spacing w:after="0"/>
              <w:rPr>
                <w:sz w:val="20"/>
                <w:szCs w:val="20"/>
                <w:color w:val="auto"/>
              </w:rPr>
            </w:pPr>
            <w:r>
              <w:rPr>
                <w:rFonts w:ascii="Arial" w:cs="Arial" w:eastAsia="Arial" w:hAnsi="Arial"/>
                <w:sz w:val="18"/>
                <w:szCs w:val="18"/>
                <w:color w:val="auto"/>
                <w:w w:val="94"/>
              </w:rPr>
              <w:t>Liabilities for loss and allocated loss adjustment expenses, net of reinsurance</w:t>
            </w:r>
          </w:p>
        </w:tc>
        <w:tc>
          <w:tcPr>
            <w:tcW w:w="28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may not sum to totals due to rounding)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the Disclosure of Incurred and Paid Loss Development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Liability for Loss and LAE Reserves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8"/>
                <w:szCs w:val="18"/>
                <w:color w:val="auto"/>
              </w:rPr>
            </w:pPr>
          </w:p>
        </w:tc>
      </w:tr>
      <w:tr>
        <w:trPr>
          <w:trHeight w:val="216"/>
        </w:trPr>
        <w:tc>
          <w:tcPr>
            <w:tcW w:w="10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r>
      <w:tr>
        <w:trPr>
          <w:trHeight w:val="234"/>
        </w:trPr>
        <w:tc>
          <w:tcPr>
            <w:tcW w:w="100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r>
      <w:tr>
        <w:trPr>
          <w:trHeight w:val="209"/>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allocated loss and loss adjustment expenses, net of reinsurance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89,731</w:t>
            </w:r>
          </w:p>
        </w:tc>
        <w:tc>
          <w:tcPr>
            <w:tcW w:w="10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30,405</w:t>
            </w:r>
          </w:p>
        </w:tc>
        <w:tc>
          <w:tcPr>
            <w:tcW w:w="100" w:type="dxa"/>
            <w:vAlign w:val="bottom"/>
          </w:tcPr>
          <w:p>
            <w:pPr>
              <w:spacing w:after="0"/>
              <w:rPr>
                <w:sz w:val="18"/>
                <w:szCs w:val="18"/>
                <w:color w:val="auto"/>
              </w:rPr>
            </w:pPr>
          </w:p>
        </w:tc>
      </w:tr>
      <w:tr>
        <w:trPr>
          <w:trHeight w:val="216"/>
        </w:trPr>
        <w:tc>
          <w:tcPr>
            <w:tcW w:w="10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7"/>
        </w:trPr>
        <w:tc>
          <w:tcPr>
            <w:tcW w:w="1000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124,122</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December 31, 2021, the Company entered into a quota share reinsurance treaty for its personal lines business, which primarily consists of homeowners’ and dwelling fire policies, covering the period from December 31, 2021 through January 1, 2023 (“2021/2023 Treaty”). Upon the expiration of the 2021/2023 Treaty on January 1, 2023, the Company entered into a new quota share reinsurance treaty for its personal lines business, covering the period from January 1, 2023 through January 1, 2024 (“2023/2024 Treaty”).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excess of loss and catastrophe reinsurance treaties expired on June 30, 2022 and the Company entered into new excess of loss and catastrophe reinsurance treaties effective July 1, 2022. Effective January 1, 2022, the Company entered into an underlying excess of loss reinsurance treaty (“Underlying XOL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 Material terms for reinsurance treaties in effect for the treaty years shown below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200"/>
              <w:spacing w:after="0"/>
              <w:rPr>
                <w:sz w:val="20"/>
                <w:szCs w:val="20"/>
                <w:color w:val="auto"/>
              </w:rPr>
            </w:pPr>
            <w:r>
              <w:rPr>
                <w:rFonts w:ascii="Arial" w:cs="Arial" w:eastAsia="Arial" w:hAnsi="Arial"/>
                <w:sz w:val="18"/>
                <w:szCs w:val="18"/>
                <w:b w:val="1"/>
                <w:bCs w:val="1"/>
                <w:color w:val="auto"/>
              </w:rPr>
              <w:t>Treaty Period</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2023/2024 Treaty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2021/2023 Treaty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July 1,</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9"/>
              </w:rPr>
              <w:t>July 1,</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to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to</w:t>
            </w: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January 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January 1,</w:t>
            </w: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90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4"/>
          </w:tcPr>
          <w:p>
            <w:pPr>
              <w:spacing w:after="0"/>
              <w:rPr>
                <w:sz w:val="20"/>
                <w:szCs w:val="20"/>
                <w:color w:val="auto"/>
              </w:rPr>
            </w:pPr>
            <w:r>
              <w:rPr>
                <w:rFonts w:ascii="Arial" w:cs="Arial" w:eastAsia="Arial" w:hAnsi="Arial"/>
                <w:sz w:val="18"/>
                <w:szCs w:val="18"/>
                <w:color w:val="auto"/>
              </w:rPr>
              <w:t>Homeowners, dwelling fire and and canine legal liability</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Quota share treaty:</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Percent ceded (8)</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Risk retained on intial $1,000,000 of losses (6) (7) (8)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700,000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700,000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700,000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rPr>
              <w:t>Losses per occurrence subject to quota share reinsurance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coverage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420"/>
              <w:spacing w:after="0"/>
              <w:rPr>
                <w:sz w:val="20"/>
                <w:szCs w:val="20"/>
                <w:color w:val="auto"/>
              </w:rPr>
            </w:pPr>
            <w:r>
              <w:rPr>
                <w:rFonts w:ascii="Arial" w:cs="Arial" w:eastAsia="Arial" w:hAnsi="Arial"/>
                <w:sz w:val="18"/>
                <w:szCs w:val="18"/>
                <w:color w:val="auto"/>
              </w:rPr>
              <w:t>Expiration date</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January 1, 2024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January 1, 2024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January 1, 2023</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January 1, 2023</w:t>
            </w: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2"/>
              </w:rPr>
              <w:t>Excess of loss coverage and facultative facility coverage (1) (6)</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in excess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in excess of</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Total reinsurance coverage per occurrence (6) (7)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8,500,000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8,500,000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Expiration date</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June 30, 2023</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2022</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00" w:type="dxa"/>
            <w:vAlign w:val="bottom"/>
            <w:gridSpan w:val="4"/>
          </w:tcPr>
          <w:p>
            <w:pPr>
              <w:spacing w:after="0" w:line="176" w:lineRule="exact"/>
              <w:rPr>
                <w:sz w:val="20"/>
                <w:szCs w:val="20"/>
                <w:color w:val="auto"/>
              </w:rPr>
            </w:pPr>
            <w:r>
              <w:rPr>
                <w:rFonts w:ascii="Arial" w:cs="Arial" w:eastAsia="Arial" w:hAnsi="Arial"/>
                <w:sz w:val="18"/>
                <w:szCs w:val="18"/>
                <w:color w:val="auto"/>
              </w:rPr>
              <w:t>Catastrophe Reinsurance:</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Initial loss subject to personal lines quota share treaty (7)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Risk retained per catastrophe occurrence (8) (9)</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8,750,000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7,400,000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Catastrophe loss coverage in excess of quota share coverage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335,000,000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00" w:type="dxa"/>
            <w:vAlign w:val="bottom"/>
            <w:gridSpan w:val="4"/>
          </w:tcPr>
          <w:p>
            <w:pPr>
              <w:ind w:left="220"/>
              <w:spacing w:after="0" w:line="201" w:lineRule="exact"/>
              <w:rPr>
                <w:sz w:val="20"/>
                <w:szCs w:val="20"/>
                <w:color w:val="auto"/>
              </w:rPr>
            </w:pPr>
            <w:r>
              <w:rPr>
                <w:rFonts w:ascii="Arial" w:cs="Arial" w:eastAsia="Arial" w:hAnsi="Arial"/>
                <w:sz w:val="18"/>
                <w:szCs w:val="18"/>
                <w:color w:val="auto"/>
                <w:w w:val="99"/>
              </w:rPr>
              <w:t>Catastrophe stub coverage for the period from October 18,</w:t>
            </w:r>
          </w:p>
        </w:tc>
        <w:tc>
          <w:tcPr>
            <w:tcW w:w="160" w:type="dxa"/>
            <w:vAlign w:val="bottom"/>
          </w:tcPr>
          <w:p>
            <w:pPr>
              <w:spacing w:after="0"/>
              <w:rPr>
                <w:sz w:val="17"/>
                <w:szCs w:val="17"/>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4900" w:type="dxa"/>
            <w:vAlign w:val="bottom"/>
            <w:gridSpan w:val="4"/>
            <w:vMerge w:val="restart"/>
          </w:tcPr>
          <w:p>
            <w:pPr>
              <w:spacing w:after="0"/>
              <w:rPr>
                <w:sz w:val="20"/>
                <w:szCs w:val="20"/>
                <w:color w:val="auto"/>
              </w:rPr>
            </w:pPr>
            <w:r>
              <w:rPr>
                <w:rFonts w:ascii="Arial" w:cs="Arial" w:eastAsia="Arial" w:hAnsi="Arial"/>
                <w:sz w:val="18"/>
                <w:szCs w:val="18"/>
                <w:color w:val="auto"/>
              </w:rPr>
              <w:t>2021 through December 31, 2021 (5)</w:t>
            </w: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Reinstatement premium protection (3) (4)</w:t>
            </w:r>
          </w:p>
        </w:tc>
        <w:tc>
          <w:tcPr>
            <w:tcW w:w="1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Yes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Yes</w:t>
            </w:r>
          </w:p>
        </w:tc>
        <w:tc>
          <w:tcPr>
            <w:tcW w:w="1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2023.</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period December 31, 2021 through June 30, 2022, reinstatement premium protection for $70,000,000 of catastrophe coverage in excess of $10,000,000.</w:t>
      </w:r>
    </w:p>
    <w:p>
      <w:pPr>
        <w:ind w:left="460" w:hanging="452"/>
        <w:spacing w:after="0" w:line="26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period July 1, 2022 through June 30, 2023, reinstatement premium protection for $9,800,000 of catastrophe coverage in excess of $10,000,000.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23"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period January 1, 2022 through January 1, 2024, underlying excess of loss treaty provides 50% reinsurance coverage for losses of $400,000 in excess of $600,000. Reduces retention to $500,000 from $700,000 under the 2021/2023 Treaty and 2022/2023 Treaty. Excludes losses from named storms.</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Excess of loss and facultative facility, and catastrophe treaties will expire on June 30, 2023; reinsurance coverage in effect from July 1, 2023 through January 1, 2024 is only for Personal lines quota share (homeowners, dwelling fire and canine liability) and underlying excess of loss reinsurance.</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 For the 2023/2024 Treaty, 17.5% of the 30% total of losses ceded under this treaty are excluded from a named catastrophe event.</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Treaty Year</w:t>
            </w:r>
          </w:p>
        </w:tc>
      </w:tr>
      <w:tr>
        <w:trPr>
          <w:trHeight w:val="191"/>
        </w:trPr>
        <w:tc>
          <w:tcPr>
            <w:tcW w:w="11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July 1, 2022</w:t>
            </w: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14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to</w:t>
            </w:r>
          </w:p>
        </w:tc>
      </w:tr>
      <w:tr>
        <w:trPr>
          <w:trHeight w:val="234"/>
        </w:trPr>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2023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140" w:type="dxa"/>
            <w:vAlign w:val="bottom"/>
          </w:tcPr>
          <w:p>
            <w:pPr>
              <w:spacing w:after="0"/>
              <w:rPr>
                <w:sz w:val="20"/>
                <w:szCs w:val="20"/>
                <w:color w:val="auto"/>
              </w:rPr>
            </w:pPr>
          </w:p>
        </w:tc>
      </w:tr>
      <w:tr>
        <w:trPr>
          <w:trHeight w:val="385"/>
        </w:trPr>
        <w:tc>
          <w:tcPr>
            <w:tcW w:w="858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8580" w:type="dxa"/>
            <w:vAlign w:val="bottom"/>
            <w:gridSpan w:val="3"/>
          </w:tcPr>
          <w:p>
            <w:pPr>
              <w:ind w:left="220"/>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8580" w:type="dxa"/>
            <w:vAlign w:val="bottom"/>
            <w:gridSpan w:val="3"/>
          </w:tcPr>
          <w:p>
            <w:pPr>
              <w:ind w:left="4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85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580" w:type="dxa"/>
            <w:vAlign w:val="bottom"/>
            <w:gridSpan w:val="3"/>
          </w:tcPr>
          <w:p>
            <w:pPr>
              <w:ind w:left="620"/>
              <w:spacing w:after="0"/>
              <w:rPr>
                <w:sz w:val="20"/>
                <w:szCs w:val="20"/>
                <w:color w:val="auto"/>
              </w:rPr>
            </w:pPr>
            <w:r>
              <w:rPr>
                <w:rFonts w:ascii="Arial" w:cs="Arial" w:eastAsia="Arial" w:hAnsi="Arial"/>
                <w:sz w:val="18"/>
                <w:szCs w:val="18"/>
                <w:color w:val="auto"/>
              </w:rPr>
              <w:t>Percent ceded - excess of $1,000,000 dollars of coverage</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5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18"/>
                <w:szCs w:val="18"/>
                <w:color w:val="auto"/>
              </w:rPr>
            </w:pPr>
          </w:p>
        </w:tc>
      </w:tr>
      <w:tr>
        <w:trPr>
          <w:trHeight w:val="216"/>
        </w:trPr>
        <w:tc>
          <w:tcPr>
            <w:tcW w:w="8580" w:type="dxa"/>
            <w:vAlign w:val="bottom"/>
            <w:gridSpan w:val="3"/>
          </w:tcPr>
          <w:p>
            <w:pPr>
              <w:ind w:left="6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4,700,000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4,700,000</w:t>
            </w:r>
          </w:p>
        </w:tc>
        <w:tc>
          <w:tcPr>
            <w:tcW w:w="140" w:type="dxa"/>
            <w:vAlign w:val="bottom"/>
          </w:tcPr>
          <w:p>
            <w:pPr>
              <w:spacing w:after="0"/>
              <w:rPr>
                <w:sz w:val="18"/>
                <w:szCs w:val="18"/>
                <w:color w:val="auto"/>
              </w:rPr>
            </w:pPr>
          </w:p>
        </w:tc>
      </w:tr>
      <w:tr>
        <w:trPr>
          <w:trHeight w:val="216"/>
        </w:trPr>
        <w:tc>
          <w:tcPr>
            <w:tcW w:w="85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18"/>
                <w:szCs w:val="18"/>
                <w:color w:val="auto"/>
              </w:rPr>
            </w:pPr>
          </w:p>
        </w:tc>
      </w:tr>
      <w:tr>
        <w:trPr>
          <w:trHeight w:val="216"/>
        </w:trPr>
        <w:tc>
          <w:tcPr>
            <w:tcW w:w="8580" w:type="dxa"/>
            <w:vAlign w:val="bottom"/>
            <w:gridSpan w:val="3"/>
          </w:tcPr>
          <w:p>
            <w:pPr>
              <w:ind w:left="62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June 30, 2023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30, 2022</w:t>
            </w:r>
          </w:p>
        </w:tc>
      </w:tr>
      <w:tr>
        <w:trPr>
          <w:trHeight w:val="216"/>
        </w:trPr>
        <w:tc>
          <w:tcPr>
            <w:tcW w:w="112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Commercial Lines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11" w:lineRule="exact"/>
        <w:rPr>
          <w:sz w:val="20"/>
          <w:szCs w:val="20"/>
          <w:color w:val="auto"/>
        </w:rPr>
      </w:pPr>
    </w:p>
    <w:p>
      <w:pPr>
        <w:ind w:left="900" w:hanging="443"/>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Coverage on all commercial lines policies expired in September 2020; reinsurance coverage is based on treaties in effect on the date of loss.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earned ceding commission revenue under the 2023/2024 Treaty for the three months ended March 31, 2023, and under the 2021/2023 Treaty for the three months ended March 31, 2022, based on a fixed provisional commission rate at which provisional ceding commissions are earned. The Company earned ceding commission revenue under its expired quota share reinsurance agreements based on: (i) a fixed provisional commission rate at which provisional ceding commissions were earned, and (ii)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50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300" w:type="dxa"/>
            <w:vAlign w:val="bottom"/>
            <w:gridSpan w:val="2"/>
          </w:tcPr>
          <w:p>
            <w:pPr>
              <w:spacing w:after="0"/>
              <w:rPr>
                <w:sz w:val="20"/>
                <w:szCs w:val="20"/>
                <w:color w:val="auto"/>
              </w:rPr>
            </w:pPr>
            <w:r>
              <w:rPr>
                <w:rFonts w:ascii="Arial" w:cs="Arial" w:eastAsia="Arial" w:hAnsi="Arial"/>
                <w:sz w:val="18"/>
                <w:szCs w:val="18"/>
                <w:color w:val="auto"/>
              </w:rPr>
              <w:t>Ceding commission revenue consists of the following:</w:t>
            </w: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5,446,808</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4,541,533</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139,863</w:t>
            </w:r>
          </w:p>
        </w:tc>
        <w:tc>
          <w:tcPr>
            <w:tcW w:w="100" w:type="dxa"/>
            <w:vAlign w:val="bottom"/>
          </w:tcPr>
          <w:p>
            <w:pPr>
              <w:spacing w:after="0"/>
              <w:rPr>
                <w:sz w:val="18"/>
                <w:szCs w:val="18"/>
                <w:color w:val="auto"/>
              </w:rPr>
            </w:pPr>
          </w:p>
        </w:tc>
      </w:tr>
      <w:tr>
        <w:trPr>
          <w:trHeight w:val="217"/>
        </w:trPr>
        <w:tc>
          <w:tcPr>
            <w:tcW w:w="1280" w:type="dxa"/>
            <w:vAlign w:val="bottom"/>
            <w:tcBorders>
              <w:bottom w:val="single" w:sz="8" w:color="CCEEFF"/>
            </w:tcBorders>
            <w:shd w:val="clear" w:color="auto" w:fill="CCEEFF"/>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5,445,407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4,681,396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March 31, 2023 and December 31, 2022, net contingent ceding commissions payable to reinsurers under all treaties was approximately $ $2,669,000 and $2,881,000, respectively, which is recorded in reinsurance balances payable on the accompanying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Expected Credit Losses – Uncollectible Reinsurance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on reinsurance receivables is the financial strength rating of the reinsurer sourced from major rating agencies. Changes in the allowance are presented as a component of other underwriting expenses on the condensed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KICO became a member of, and invested in, the Federal Home Loan Bank of New York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March 31, 2023 and December 31, 2022,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one year of borrowing. KICO is currently able to borrow on an overnight basis. If KICO has collateral, based on KICO’s net admitted assets, the maximum allowable advance as of March 31, 2023 and December 31, 2022 was approximately $13,059,000 and $13,192,000, respectively. Available collateral as of March 31, 2023 and December 31, 2022 was approximately $12,199,000 and $12,228,000, respectively. Advances are limited to 85% of the amount of available collateral. There were no borrowings under this facility during the three months ended March 31, 2023 and 2022.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i w:val="1"/>
                <w:iCs w:val="1"/>
                <w:color w:val="0000EE"/>
                <w:w w:val="88"/>
              </w:rPr>
              <w:t>Table of Contents</w:t>
            </w:r>
          </w:p>
        </w:tc>
        <w:tc>
          <w:tcPr>
            <w:tcW w:w="5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Debt</w:t>
            </w:r>
          </w:p>
        </w:tc>
        <w:tc>
          <w:tcPr>
            <w:tcW w:w="676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120" w:type="dxa"/>
            <w:vAlign w:val="bottom"/>
            <w:gridSpan w:val="3"/>
          </w:tcPr>
          <w:p>
            <w:pPr>
              <w:spacing w:after="0"/>
              <w:rPr>
                <w:sz w:val="20"/>
                <w:szCs w:val="20"/>
                <w:color w:val="auto"/>
              </w:rPr>
            </w:pPr>
            <w:r>
              <w:rPr>
                <w:rFonts w:ascii="Arial" w:cs="Arial" w:eastAsia="Arial" w:hAnsi="Arial"/>
                <w:sz w:val="18"/>
                <w:szCs w:val="18"/>
                <w:color w:val="auto"/>
              </w:rPr>
              <w:t>Debt as of March 31, 2023 and December 31, 2022 consists of the following:</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March 31,</w:t>
            </w:r>
          </w:p>
        </w:tc>
        <w:tc>
          <w:tcPr>
            <w:tcW w:w="2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2022 Notes, net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17,536,524</w:t>
            </w:r>
          </w:p>
        </w:tc>
        <w:tc>
          <w:tcPr>
            <w:tcW w:w="4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17,252,868</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Equipment financing</w:t>
            </w:r>
          </w:p>
        </w:tc>
        <w:tc>
          <w:tcPr>
            <w:tcW w:w="1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7,639,495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7,905,655</w:t>
            </w:r>
          </w:p>
        </w:tc>
        <w:tc>
          <w:tcPr>
            <w:tcW w:w="100" w:type="dxa"/>
            <w:vAlign w:val="bottom"/>
          </w:tcPr>
          <w:p>
            <w:pPr>
              <w:spacing w:after="0"/>
              <w:rPr>
                <w:sz w:val="18"/>
                <w:szCs w:val="18"/>
                <w:color w:val="auto"/>
              </w:rPr>
            </w:pPr>
          </w:p>
        </w:tc>
      </w:tr>
      <w:tr>
        <w:trPr>
          <w:trHeight w:val="217"/>
        </w:trPr>
        <w:tc>
          <w:tcPr>
            <w:tcW w:w="7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25,176,019</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25,158,523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and Warrant Exchange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9, 2022, the Company entered into a Note and Warrant Exchange Agreement (the “Exchange Agreement”) with several holders (the “Exchanging Noteholders”) of the Company’s outstanding 5.50% Senior Notes due 2022 (the “2017 Notes”). On the date of the Exchange Agreement, the Exchanging Noteholders held 2017 Notes in the aggregate principal amount of $21,545,000 of the $30,000,000 aggregate principal amount of the 2017 Notes then outstanding. Pursuant to the Exchange Agreement, on December 15, 2022, the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at an exercise price of $1.00 per share (the “Warrants”). The remaining $8,455,000 principal amount of the 2017 Notes, together with accrued interest thereon, was paid on the maturity date of the 2017 Notes of December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15, 2022, the Company issued $19,950,000 of its 2022 Notes pursuant to the Exchange Agreement. Interest is payable semi-annually in arrears on June 30 and December 30 of each year, which will begin on June 30, 2023 at the rate of 12.0% per annum. Warrants were issued with a fair value of $993,200 (see Note 8 – Stockholders’ Equity) and transaction costs were $1,758,112, for an effective yield of 13.92% per annum. The balance of the 2022 Notes as of March 31, 2023 and December 31, 2022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12.0% Senior Unsecured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19,950,000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19,950,000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(898,044)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(979,684)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(1,515,432)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(1,717,448)</w:t>
            </w:r>
          </w:p>
        </w:tc>
      </w:tr>
      <w:tr>
        <w:trPr>
          <w:trHeight w:val="20"/>
        </w:trPr>
        <w:tc>
          <w:tcPr>
            <w:tcW w:w="8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60" w:type="dxa"/>
            <w:vAlign w:val="bottom"/>
          </w:tcPr>
          <w:p>
            <w:pPr>
              <w:spacing w:after="0"/>
              <w:rPr>
                <w:sz w:val="20"/>
                <w:szCs w:val="20"/>
                <w:color w:val="auto"/>
              </w:rPr>
            </w:pPr>
            <w:r>
              <w:rPr>
                <w:rFonts w:ascii="Arial" w:cs="Arial" w:eastAsia="Arial" w:hAnsi="Arial"/>
                <w:sz w:val="18"/>
                <w:szCs w:val="18"/>
                <w:color w:val="auto"/>
              </w:rPr>
              <w:t>2022 Notes,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17,536,524</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17,252,868</w:t>
            </w:r>
          </w:p>
        </w:tc>
        <w:tc>
          <w:tcPr>
            <w:tcW w:w="100" w:type="dxa"/>
            <w:vAlign w:val="bottom"/>
          </w:tcPr>
          <w:p>
            <w:pPr>
              <w:spacing w:after="0"/>
              <w:rPr>
                <w:sz w:val="18"/>
                <w:szCs w:val="18"/>
                <w:color w:val="auto"/>
              </w:rPr>
            </w:pPr>
          </w:p>
        </w:tc>
      </w:tr>
      <w:tr>
        <w:trPr>
          <w:trHeight w:val="27"/>
        </w:trPr>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required to make a mandatory redemption of the 2022 Notes on December 30, 2023, in an amount such that the aggregate principal amount of the 2022 Notes to be redeemed plus accrued and unpaid interest thereon shall be equal to the amount by which the maximum Ordinary Dividend Paying Capacity of KICO (as defined below) measured as of December 15, 2023 exceeds the Company’s Holding Company Expenses (as defined below) for the calendar year ended December 31, 2023. “Ordinary Dividend Paying Capacity” means the sum, as measured on December 15, 2023, of (i) the maximum allowable amount of dividends that KICO is permitted to pay without seeking any regulatory approval in accordance with New York insurance regulations based on its statutory annual and quarterly financial statements filed with the National Association of Insurance Commissioners as of and for the thirty-six (36) month period ended September 30, 2023 plus (ii) any dividends paid by KICO to the Company during the period beginning January 1, 2023 and ending September 30, 2023. “Holding Company Expenses” means the sum of (i) cash interest expense paid or to be paid during the calendar year ended December 31, 2023 on the 2022 Notes, intercompany loans and any other indebtedness of the holding company on a stand-alone basis and (ii) other cash operating expenses, including taxes, paid or to be paid by the holding company during the calendar year ended December 31, 2023. The amount of other operating expenses paid in cash in the preceding clause (ii) shall not exceed $2.5 million. Holding Company Expenses will be determined based on the actual Holding Company Expenses for the nine months ending September 30, 2023, and an estimate of Holding Company Expenses for the three months ending December 30, 2023.</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2022 Notes are unsecured obligations of the Company and are not the obligations of or guaranteed by any of the Company’s subsidiaries. The 2022 Notes rank senior in right of payment to any of the Company’s existing and future indebtedness that is by its terms expressly subordinated or junior in right of payment to the 2022 Notes. The Notes rank equally in right of payment to all of the Company’s existing and future senior indebtedness, but are effectively subordinated to any secured indebtedness to the extent of the value of the collateral securing such secured indebtedness. In addition, the 2022 Notes are structurally subordinated to the indebtedness and other obligations of the Company’s subsidiaries.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2022 Notes are redeemable, at the Company’s option, in whole or in part, at any time or in part from time to time, upon not less than fifteen (15) nor more than sixty (60) days’ notice, at the following redemption prices (expressed as percentages of the principal amount thereof) if redeemed during the respective period set forth below, plus, in each case, accrued and unpaid interest, if any, to the date of redemption (subject to the right of holders of record on the relevant record date to receive interest due on the relevant interest payment date):</w:t>
      </w:r>
    </w:p>
    <w:p>
      <w:pPr>
        <w:spacing w:after="0" w:line="18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0"/>
              </w:rPr>
              <w:t>Percentage</w:t>
            </w:r>
          </w:p>
        </w:tc>
        <w:tc>
          <w:tcPr>
            <w:tcW w:w="160" w:type="dxa"/>
            <w:vAlign w:val="bottom"/>
          </w:tcPr>
          <w:p>
            <w:pPr>
              <w:spacing w:after="0"/>
              <w:rPr>
                <w:sz w:val="20"/>
                <w:szCs w:val="20"/>
                <w:color w:val="auto"/>
              </w:rPr>
            </w:pPr>
          </w:p>
        </w:tc>
      </w:tr>
      <w:tr>
        <w:trPr>
          <w:trHeight w:val="210"/>
        </w:trPr>
        <w:tc>
          <w:tcPr>
            <w:tcW w:w="836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30, 2022 to December 29, 2023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102.00%</w:t>
            </w:r>
          </w:p>
        </w:tc>
      </w:tr>
      <w:tr>
        <w:trPr>
          <w:trHeight w:val="216"/>
        </w:trPr>
        <w:tc>
          <w:tcPr>
            <w:tcW w:w="8360" w:type="dxa"/>
            <w:vAlign w:val="bottom"/>
          </w:tcPr>
          <w:p>
            <w:pPr>
              <w:ind w:left="20"/>
              <w:spacing w:after="0"/>
              <w:rPr>
                <w:sz w:val="20"/>
                <w:szCs w:val="20"/>
                <w:color w:val="auto"/>
              </w:rPr>
            </w:pPr>
            <w:r>
              <w:rPr>
                <w:rFonts w:ascii="Arial" w:cs="Arial" w:eastAsia="Arial" w:hAnsi="Arial"/>
                <w:sz w:val="18"/>
                <w:szCs w:val="18"/>
                <w:color w:val="auto"/>
              </w:rPr>
              <w:t>December 30, 2023 to September 29, 2024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101.00%</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2024 to December 29, 2024</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end of each calendar quarter, commencing with the calendar quarter ending December 31, 2022, the Company is subject to a leverage maintenance test (“Leverage Maintenance Test”), which requires that the Total Consolidated Indebtedness (as defined below) of the Company not be greater than 30% of Total Consolidated Capitalization (as defined below). As of March 31, 2023 and December 31, 2022, the ratio as defined under the Leverage Maintenance Test was 29.7% and 26.7%, respectively. “Total Consolidated Indebtedness” is the aggregate principal amount (or accreted value in the case of any Indebtedness issued with more than de minimis original issue discount) of all outstanding long-term of the Company except for the sale leaseback transaction described below under “Equipment Financing”, any refinancing or any future sale leaseback transaction. “Total Consolidated Capitalization” is the amount equal to the sum of (x) Total Consolidated Indebtedness outstanding as of such date and (y) the total consolidated shareholders’ equity of the Company, excluding accumulated other comprehensive (loss) income, as recorded on the Company’s condensed consolidated balance sheet.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27, 2022, KICO entered into a sale leaseback transaction, whereby KICO sold $8,096,824 of fixed assets to a bank. Under GAAP, the sale 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87" w:lineRule="exact"/>
        <w:rPr>
          <w:sz w:val="20"/>
          <w:szCs w:val="20"/>
          <w:color w:val="auto"/>
        </w:rPr>
      </w:pPr>
    </w:p>
    <w:p>
      <w:pPr>
        <w:ind w:left="900" w:hanging="44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end of the lease, KICO may purchase the fixed assets for a purchase price of $2,024,206, which is 25% of the original fixed asset cost of $8,096,824; or</w:t>
      </w:r>
    </w:p>
    <w:p>
      <w:pPr>
        <w:spacing w:after="0" w:line="170" w:lineRule="exact"/>
        <w:rPr>
          <w:rFonts w:ascii="Arial" w:cs="Arial" w:eastAsia="Arial" w:hAnsi="Arial"/>
          <w:sz w:val="18"/>
          <w:szCs w:val="18"/>
          <w:color w:val="auto"/>
        </w:rPr>
      </w:pPr>
    </w:p>
    <w:p>
      <w:pPr>
        <w:ind w:left="900" w:hanging="4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KICO may renew the lease for 16 months at the same rental rate, which totals $2,030,036.</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provision of the Financing requires KICO to pledge collateral for the lease obligation. As of March 31, 2023 and December 31, 2022, the amount of required collateral was approximately $8,268,000 and $8,691,000, respectively. As of March 31, 2023 and December 31, 2022, the fair value of KICO’s pledged collateral was approximately $11,475,000 and $8,691,000, respectively, in United States Treasury securities.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Future contractual payment obligations under the Financing as of March 31, 2023 are as follows: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8420" w:type="dxa"/>
            <w:vAlign w:val="bottom"/>
            <w:tcBorders>
              <w:bottom w:val="single" w:sz="8" w:color="auto"/>
            </w:tcBorders>
          </w:tcPr>
          <w:p>
            <w:pPr>
              <w:ind w:left="2880"/>
              <w:spacing w:after="0"/>
              <w:rPr>
                <w:sz w:val="20"/>
                <w:szCs w:val="20"/>
                <w:color w:val="auto"/>
              </w:rPr>
            </w:pPr>
            <w:r>
              <w:rPr>
                <w:rFonts w:ascii="Arial" w:cs="Arial" w:eastAsia="Arial" w:hAnsi="Arial"/>
                <w:sz w:val="18"/>
                <w:szCs w:val="18"/>
                <w:b w:val="1"/>
                <w:bCs w:val="1"/>
                <w:color w:val="auto"/>
              </w:rPr>
              <w:t>For the Year Ending December 31,</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822,212</w:t>
            </w:r>
          </w:p>
        </w:tc>
        <w:tc>
          <w:tcPr>
            <w:tcW w:w="10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1,153,862</w:t>
            </w:r>
          </w:p>
        </w:tc>
        <w:tc>
          <w:tcPr>
            <w:tcW w:w="1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1,223,293</w:t>
            </w:r>
          </w:p>
        </w:tc>
        <w:tc>
          <w:tcPr>
            <w:tcW w:w="10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1,296,901</w:t>
            </w:r>
          </w:p>
        </w:tc>
        <w:tc>
          <w:tcPr>
            <w:tcW w:w="1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1,119,021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5,615,289</w:t>
            </w:r>
          </w:p>
        </w:tc>
        <w:tc>
          <w:tcPr>
            <w:tcW w:w="1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 purchase price</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2,024,206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7"/>
        </w:trPr>
        <w:tc>
          <w:tcPr>
            <w:tcW w:w="840" w:type="dxa"/>
            <w:vAlign w:val="bottom"/>
          </w:tcPr>
          <w:p>
            <w:pPr>
              <w:spacing w:after="0"/>
              <w:rPr>
                <w:sz w:val="18"/>
                <w:szCs w:val="18"/>
                <w:color w:val="auto"/>
              </w:rPr>
            </w:pPr>
          </w:p>
        </w:tc>
        <w:tc>
          <w:tcPr>
            <w:tcW w:w="8420" w:type="dxa"/>
            <w:vAlign w:val="bottom"/>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7,639,495</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declared and paid on Common Stock were $-0- and $425,490 for the three months ended March 31, 2023 and 2022, respectively. On November 11, 2022, the Company’s Board of Directors determined to suspend regular quarterly dividends. Future dividend policy will be subject to the discretion of the Company’s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 On May 10, 2023, the Company’s Board of Directors approved an amendment to the 2014 Plan, subject to shareholder approval, to increase the maximum shares of Common Stock of the Company that are authorized to be issued pursuant to the 2014 Plan to 1,900,000.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for the three months ended March 31, 2023 and 2022 include stock-based compensation expense for stock options totaling approximately $-0- and $6,000, respectively. Stock-based compensation expense related to stock options for the three months ended March 31, 2022 is net of estimated forfeitures of approximately 18%. Such amounts have been included in the condensed consolidated statements of operations and comprehensive income (loss) within other operating expenses.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options were granted during the three months ended March 31, 2023 and 2022. The fair value of stock options at the grant date are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for the three months ended March 31,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8"/>
                <w:szCs w:val="18"/>
                <w:color w:val="auto"/>
              </w:rPr>
            </w:pPr>
          </w:p>
        </w:tc>
      </w:tr>
      <w:tr>
        <w:trPr>
          <w:trHeight w:val="234"/>
        </w:trPr>
        <w:tc>
          <w:tcPr>
            <w:tcW w:w="580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Stock Options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per Share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58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2023</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196"/>
        </w:trPr>
        <w:tc>
          <w:tcPr>
            <w:tcW w:w="5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March 31, 2023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0"/>
        </w:trPr>
        <w:tc>
          <w:tcPr>
            <w:tcW w:w="5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of options outstanding and options exercisable at March 31, 2023 is calculated as the difference between the exercise price of the underlying options and the market price of the Company’s Common Stock for the options that had exercise prices that were lower than the $1.34 closing price of the Company’s Common Stock on March 31, 2023. No options were exercised, forfeited or expired during the three months ended March 31, 2023. The total intrinsic value of options when forfeited are determined as of the date of forfeiture. The total intrinsic value of options when expired are determined as of the date of expiration.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or by exchanging a number of shares owned for a period of greater than one year having a fair market value equal to the exercise price of the option being exercised.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there were no unvested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there were 204,399 shares reserved for grants under the 2014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Common Stock activity under the Company’s 2014 Plan for three months ended March 31,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Grant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Date Fair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Aggregate</w:t>
            </w:r>
          </w:p>
        </w:tc>
      </w:tr>
      <w:tr>
        <w:trPr>
          <w:trHeight w:val="234"/>
        </w:trPr>
        <w:tc>
          <w:tcPr>
            <w:tcW w:w="718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Restricted Stock Awards</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per Share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09"/>
        </w:trPr>
        <w:tc>
          <w:tcPr>
            <w:tcW w:w="718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2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366,597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2,555,181</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2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272,682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373,499</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(60,951)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(396,868)</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w:t>
            </w:r>
          </w:p>
        </w:tc>
      </w:tr>
      <w:tr>
        <w:trPr>
          <w:trHeight w:val="210"/>
        </w:trPr>
        <w:tc>
          <w:tcPr>
            <w:tcW w:w="7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577,728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2,178,035</w:t>
            </w:r>
          </w:p>
        </w:tc>
        <w:tc>
          <w:tcPr>
            <w:tcW w:w="100" w:type="dxa"/>
            <w:vAlign w:val="bottom"/>
            <w:shd w:val="clear" w:color="auto" w:fill="CCEEFF"/>
          </w:tcPr>
          <w:p>
            <w:pPr>
              <w:spacing w:after="0"/>
              <w:rPr>
                <w:sz w:val="20"/>
                <w:szCs w:val="20"/>
                <w:color w:val="auto"/>
              </w:rPr>
            </w:pPr>
          </w:p>
        </w:tc>
      </w:tr>
      <w:tr>
        <w:trPr>
          <w:trHeight w:val="20"/>
        </w:trPr>
        <w:tc>
          <w:tcPr>
            <w:tcW w:w="7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Fair value was calculated using the closing price of the Company’s Common Stock on the grant date. For the three months ended March 31, 2023 and 2022, stock-based compensation for these grants was approximately $217,000 and $518,000, respectively, which is included in other operating expenses on the accompanying condensed consolidated statements of operations and comprehensive income (loss). These amounts reflect the Company’s accounting expense and do not correspond to the actual value that will be recognized by the directors, executives and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offering period under the ESPP was from November 1, 2021 through October 31, 2022 (“2021/2022 Offering”). There is currently no offering pursuant to the ESPP subsequent to October 31, 2022. For the three months ended March 31, 2022, stock-based compensation under the 2021/2022 Offering was approximately $6,000, which is included in other operating expenses on the accompanying condensed consolidated statements of operations and comprehensive income (loss).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the 2021/2022 Offering period, 33,222 shares of Common Stock were issued at $1.82 per share to participating employees for a total purchase of $60,464.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Exchange Agreement (see Note 7 – Debt – “Note and Warrant Exchange”), as additional consideration, on December 15, 2022, the Company issued warrants to the Exchanging Noteholders to purchase 969,525 shares of Common Stock. The fair value of the warrants, using the Black-Scholes valuation formula, was $993,200, which has been capitalized as a deferred financing cost of the 2022 Notes. The fair value of the warrants is being amortized over the life of the warrants, which is 36.5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are exercisable through December 30, 2025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all warrants for the purchase of an aggregate of 969,525 shares of Common Stock were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warrants were granted during the three months ended March 31,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March 31,</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vMerge w:val="restart"/>
          </w:tcPr>
          <w:p>
            <w:pPr>
              <w:spacing w:after="0"/>
              <w:rPr>
                <w:sz w:val="20"/>
                <w:szCs w:val="20"/>
                <w:color w:val="auto"/>
              </w:rPr>
            </w:pPr>
            <w:r>
              <w:rPr>
                <w:rFonts w:ascii="Arial" w:cs="Arial" w:eastAsia="Arial" w:hAnsi="Arial"/>
                <w:sz w:val="18"/>
                <w:szCs w:val="18"/>
                <w:color w:val="auto"/>
              </w:rPr>
              <w:t>Deferred tax asset:</w:t>
            </w:r>
          </w:p>
        </w:tc>
        <w:tc>
          <w:tcPr>
            <w:tcW w:w="4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carryovers (1)</w:t>
            </w:r>
          </w:p>
        </w:tc>
        <w:tc>
          <w:tcPr>
            <w:tcW w:w="4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5,284,865</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Claims reserve discount</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1,280,017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1,238,544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3,513,318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2,255,280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2,230,109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losses on securities</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4,006,763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Other</w:t>
            </w:r>
          </w:p>
        </w:tc>
        <w:tc>
          <w:tcPr>
            <w:tcW w:w="4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478,495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16,818,738</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16,296,969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Investment in KICO (2)</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759,543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acquisition costs</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4,765,329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Intangibles</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127,448</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4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5,757,320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deferred income tax asset</w:t>
            </w:r>
          </w:p>
        </w:tc>
        <w:tc>
          <w:tcPr>
            <w:tcW w:w="4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11,061,418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10,331,158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2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2850"/>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53"/>
        </w:trPr>
        <w:tc>
          <w:tcPr>
            <w:tcW w:w="7520" w:type="dxa"/>
            <w:vAlign w:val="bottom"/>
            <w:gridSpan w:val="6"/>
          </w:tcPr>
          <w:p>
            <w:pPr>
              <w:ind w:left="620"/>
              <w:spacing w:after="0"/>
              <w:rPr>
                <w:sz w:val="20"/>
                <w:szCs w:val="20"/>
                <w:color w:val="auto"/>
              </w:rPr>
            </w:pPr>
            <w:r>
              <w:rPr>
                <w:rFonts w:ascii="Arial" w:cs="Arial" w:eastAsia="Arial" w:hAnsi="Arial"/>
                <w:sz w:val="18"/>
                <w:szCs w:val="18"/>
                <w:color w:val="auto"/>
              </w:rPr>
              <w:t>(1) The deferred tax assets from net operating loss carryovers (“NOL”)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December 31,</w:t>
            </w:r>
          </w:p>
        </w:tc>
        <w:tc>
          <w:tcPr>
            <w:tcW w:w="2380" w:type="dxa"/>
            <w:vAlign w:val="bottom"/>
          </w:tcPr>
          <w:p>
            <w:pPr>
              <w:spacing w:after="0"/>
              <w:rPr>
                <w:sz w:val="24"/>
                <w:szCs w:val="24"/>
                <w:color w:val="auto"/>
              </w:rPr>
            </w:pPr>
          </w:p>
        </w:tc>
      </w:tr>
      <w:tr>
        <w:trPr>
          <w:trHeight w:val="234"/>
        </w:trPr>
        <w:tc>
          <w:tcPr>
            <w:tcW w:w="12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Type of NOL</w:t>
            </w: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Expiration</w:t>
            </w:r>
          </w:p>
        </w:tc>
      </w:tr>
      <w:tr>
        <w:trPr>
          <w:trHeight w:val="209"/>
        </w:trPr>
        <w:tc>
          <w:tcPr>
            <w:tcW w:w="12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only, NOL from 2021 - 2023</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5,284,865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3,828,947</w:t>
            </w:r>
          </w:p>
        </w:tc>
        <w:tc>
          <w:tcPr>
            <w:tcW w:w="200" w:type="dxa"/>
            <w:vAlign w:val="bottom"/>
            <w:shd w:val="clear" w:color="auto" w:fill="CCEEFF"/>
          </w:tcPr>
          <w:p>
            <w:pPr>
              <w:spacing w:after="0"/>
              <w:rPr>
                <w:sz w:val="18"/>
                <w:szCs w:val="18"/>
                <w:color w:val="auto"/>
              </w:rPr>
            </w:pPr>
          </w:p>
        </w:tc>
        <w:tc>
          <w:tcPr>
            <w:tcW w:w="2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None</w:t>
            </w:r>
          </w:p>
        </w:tc>
      </w:tr>
      <w:tr>
        <w:trPr>
          <w:trHeight w:val="210"/>
        </w:trPr>
        <w:tc>
          <w:tcPr>
            <w:tcW w:w="1280" w:type="dxa"/>
            <w:vAlign w:val="bottom"/>
            <w:tcBorders>
              <w:top w:val="single" w:sz="8" w:color="CCEEFF"/>
            </w:tcBorders>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202"/>
        </w:trPr>
        <w:tc>
          <w:tcPr>
            <w:tcW w:w="5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State only (A)</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8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89"/>
              </w:rPr>
              <w:t>December 2027 - December</w:t>
            </w:r>
          </w:p>
        </w:tc>
      </w:tr>
      <w:tr>
        <w:trPr>
          <w:trHeight w:val="230"/>
        </w:trPr>
        <w:tc>
          <w:tcPr>
            <w:tcW w:w="128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2,375,669</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2,276,595</w:t>
            </w:r>
          </w:p>
        </w:tc>
        <w:tc>
          <w:tcPr>
            <w:tcW w:w="200" w:type="dxa"/>
            <w:vAlign w:val="bottom"/>
            <w:shd w:val="clear" w:color="auto" w:fill="CCEEFF"/>
          </w:tcPr>
          <w:p>
            <w:pPr>
              <w:spacing w:after="0"/>
              <w:rPr>
                <w:sz w:val="20"/>
                <w:szCs w:val="20"/>
                <w:color w:val="auto"/>
              </w:rPr>
            </w:pPr>
          </w:p>
        </w:tc>
        <w:tc>
          <w:tcPr>
            <w:tcW w:w="23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2043</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(2,375,669)</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(2,276,595)</w:t>
            </w:r>
          </w:p>
        </w:tc>
        <w:tc>
          <w:tcPr>
            <w:tcW w:w="2380" w:type="dxa"/>
            <w:vAlign w:val="bottom"/>
          </w:tcPr>
          <w:p>
            <w:pPr>
              <w:spacing w:after="0"/>
              <w:rPr>
                <w:sz w:val="18"/>
                <w:szCs w:val="18"/>
                <w:color w:val="auto"/>
              </w:rPr>
            </w:pPr>
          </w:p>
        </w:tc>
      </w:tr>
      <w:tr>
        <w:trPr>
          <w:trHeight w:val="210"/>
        </w:trPr>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5,284,865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3,828,947</w:t>
            </w:r>
          </w:p>
        </w:tc>
        <w:tc>
          <w:tcPr>
            <w:tcW w:w="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7"/>
        </w:trPr>
        <w:tc>
          <w:tcPr>
            <w:tcW w:w="128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20" w:hanging="4"/>
        <w:spacing w:after="0" w:line="255" w:lineRule="auto"/>
        <w:tabs>
          <w:tab w:leader="none" w:pos="915" w:val="left"/>
        </w:tabs>
        <w:numPr>
          <w:ilvl w:val="0"/>
          <w:numId w:val="8"/>
        </w:numPr>
        <w:rPr>
          <w:rFonts w:ascii="Arial" w:cs="Arial" w:eastAsia="Arial" w:hAnsi="Arial"/>
          <w:sz w:val="18"/>
          <w:szCs w:val="18"/>
          <w:color w:val="auto"/>
        </w:rPr>
      </w:pPr>
      <w:r>
        <w:rPr>
          <w:rFonts w:ascii="Arial" w:cs="Arial" w:eastAsia="Arial" w:hAnsi="Arial"/>
          <w:sz w:val="18"/>
          <w:szCs w:val="18"/>
          <w:color w:val="auto"/>
        </w:rPr>
        <w:t>Kingstone generates operating losses for state purposes and has prior year NOLs available. The state NOL as of March 31, 2023 and December 31, 2022 was approximately $36,549,000 and $35,025,000, respectively. KICO, the Company’s insurance underwriting subsidiary, is not subject to state income taxes. KICO’s state tax obligations are paid through a gross premiums tax, which is included in the condensed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2043.</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 Deferred tax liability – Investment in KICO</w:t>
      </w:r>
    </w:p>
    <w:p>
      <w:pPr>
        <w:spacing w:after="0" w:line="225"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2023 and 2022. If any had been recognized these would have been reported in income tax expense.</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2019 through December 31, 2021 remain subject to examination.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Loss Per Common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per common share is computed by dividing net loss by the weighted-average number of shares of Common Stock outstanding. Diluted loss per common share reflects, in periods in which it has a dilutive effect, the impact of common shares issuable upon exercise of stock options and warrants as well as non-vested restricted stock awards. The computation of diluted loss per common share excludes those options and warrants with an exercise price in excess of the average market price of the Company’s Common Stock during the periods presented.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computation of diluted loss per common share excludes outstanding options, warrants and non-vested restricted stock awards in periods where the exercise of such options and warrants or vesting of such restricted stock awards would be anti-dilutive. For the three months ended March 31, 2023 and 2022, no options, warrants or restricted stock awards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 warrants and non-vested restricted stock awards.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weighted average number of shares of Common Stock used in the calculation of basic and diluted loss per common share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2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r>
      <w:tr>
        <w:trPr>
          <w:trHeight w:val="234"/>
        </w:trPr>
        <w:tc>
          <w:tcPr>
            <w:tcW w:w="866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3"/>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66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10,756,913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10,630,450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Restricted stock awards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7"/>
        </w:trPr>
        <w:tc>
          <w:tcPr>
            <w:tcW w:w="8660" w:type="dxa"/>
            <w:vAlign w:val="bottom"/>
          </w:tcPr>
          <w:p>
            <w:pPr>
              <w:spacing w:after="0"/>
              <w:rPr>
                <w:sz w:val="20"/>
                <w:szCs w:val="20"/>
                <w:color w:val="auto"/>
              </w:rPr>
            </w:pPr>
            <w:r>
              <w:rPr>
                <w:rFonts w:ascii="Arial" w:cs="Arial" w:eastAsia="Arial" w:hAnsi="Arial"/>
                <w:sz w:val="18"/>
                <w:szCs w:val="18"/>
                <w:color w:val="auto"/>
              </w:rPr>
              <w:t>Weighted average number of shares outstanding, used for computing diluted loss per share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10,756,913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10,630,450</w:t>
            </w:r>
          </w:p>
        </w:tc>
        <w:tc>
          <w:tcPr>
            <w:tcW w:w="100" w:type="dxa"/>
            <w:vAlign w:val="bottom"/>
          </w:tcPr>
          <w:p>
            <w:pPr>
              <w:spacing w:after="0"/>
              <w:rPr>
                <w:sz w:val="18"/>
                <w:szCs w:val="18"/>
                <w:color w:val="auto"/>
              </w:rPr>
            </w:pPr>
          </w:p>
        </w:tc>
      </w:tr>
      <w:tr>
        <w:trPr>
          <w:trHeight w:val="432"/>
        </w:trPr>
        <w:tc>
          <w:tcPr>
            <w:tcW w:w="8660" w:type="dxa"/>
            <w:vAlign w:val="bottom"/>
          </w:tcPr>
          <w:p>
            <w:pPr>
              <w:spacing w:after="0"/>
              <w:rPr>
                <w:sz w:val="20"/>
                <w:szCs w:val="20"/>
                <w:color w:val="auto"/>
              </w:rPr>
            </w:pPr>
            <w:r>
              <w:rPr>
                <w:rFonts w:ascii="Arial" w:cs="Arial" w:eastAsia="Arial" w:hAnsi="Arial"/>
                <w:sz w:val="18"/>
                <w:szCs w:val="18"/>
                <w:b w:val="1"/>
                <w:bCs w:val="1"/>
                <w:color w:val="auto"/>
              </w:rPr>
              <w:t>Note 11 - Commitments and Contingencies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had a term of seven years and two months expiring December 31, 2026. During January 2022, pursuant to a mutual agreement with the landlord at a cost of $40,000, the Cosi lease was terminated effective as of January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60" w:type="dxa"/>
            <w:vAlign w:val="bottom"/>
            <w:vMerge w:val="restart"/>
          </w:tcPr>
          <w:p>
            <w:pPr>
              <w:spacing w:after="0"/>
              <w:rPr>
                <w:sz w:val="20"/>
                <w:szCs w:val="20"/>
                <w:color w:val="auto"/>
              </w:rPr>
            </w:pPr>
            <w:r>
              <w:rPr>
                <w:rFonts w:ascii="Arial" w:cs="Arial" w:eastAsia="Arial" w:hAnsi="Arial"/>
                <w:sz w:val="18"/>
                <w:szCs w:val="18"/>
                <w:b w:val="1"/>
                <w:bCs w:val="1"/>
                <w:color w:val="auto"/>
              </w:rPr>
              <w:t>Lease cost</w:t>
            </w:r>
          </w:p>
        </w:tc>
        <w:tc>
          <w:tcPr>
            <w:tcW w:w="120" w:type="dxa"/>
            <w:vAlign w:val="bottom"/>
          </w:tcPr>
          <w:p>
            <w:pPr>
              <w:spacing w:after="0"/>
              <w:rPr>
                <w:sz w:val="24"/>
                <w:szCs w:val="24"/>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Three months ended</w:t>
            </w: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5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March 31, 2023</w:t>
            </w:r>
          </w:p>
        </w:tc>
        <w:tc>
          <w:tcPr>
            <w:tcW w:w="14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March 31, 2022</w:t>
            </w:r>
          </w:p>
        </w:tc>
        <w:tc>
          <w:tcPr>
            <w:tcW w:w="0" w:type="dxa"/>
            <w:vAlign w:val="bottom"/>
          </w:tcPr>
          <w:p>
            <w:pPr>
              <w:spacing w:after="0"/>
              <w:rPr>
                <w:sz w:val="1"/>
                <w:szCs w:val="1"/>
                <w:color w:val="auto"/>
              </w:rPr>
            </w:pPr>
          </w:p>
        </w:tc>
      </w:tr>
      <w:tr>
        <w:trPr>
          <w:trHeight w:val="209"/>
        </w:trPr>
        <w:tc>
          <w:tcPr>
            <w:tcW w:w="7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(1) (2)</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40,815</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Cash payments included in the measurement of lease liability reported in operating cash flows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47,483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53,003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Remaining lease term in 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KICO</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00" w:hanging="443"/>
        <w:spacing w:after="0" w:line="25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KICO rent expense is included in the condensed consolidated statements of operations and comprehensive income (loss) within other underwriting expenses.</w:t>
      </w:r>
    </w:p>
    <w:p>
      <w:pPr>
        <w:spacing w:after="0" w:line="1" w:lineRule="exact"/>
        <w:rPr>
          <w:rFonts w:ascii="Arial" w:cs="Arial" w:eastAsia="Arial" w:hAnsi="Arial"/>
          <w:sz w:val="18"/>
          <w:szCs w:val="18"/>
          <w:color w:val="auto"/>
        </w:rPr>
      </w:pPr>
    </w:p>
    <w:p>
      <w:pPr>
        <w:ind w:left="900" w:hanging="443"/>
        <w:spacing w:after="0" w:line="26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Cosi rent expense is included in the condensed consolidated statements of operations and comprehensive income (loss) within other operating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March 31, 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842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For the Three Months Ending March 31,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147,436</w:t>
            </w:r>
          </w:p>
        </w:tc>
        <w:tc>
          <w:tcPr>
            <w:tcW w:w="10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49,145</w:t>
            </w:r>
          </w:p>
        </w:tc>
        <w:tc>
          <w:tcPr>
            <w:tcW w:w="10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undiscounted lease payments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196,581</w:t>
            </w:r>
          </w:p>
        </w:tc>
        <w:tc>
          <w:tcPr>
            <w:tcW w:w="10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Less: present value adjustment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15,595</w:t>
            </w:r>
          </w:p>
        </w:tc>
        <w:tc>
          <w:tcPr>
            <w:tcW w:w="100" w:type="dxa"/>
            <w:vAlign w:val="bottom"/>
          </w:tcPr>
          <w:p>
            <w:pPr>
              <w:spacing w:after="0"/>
              <w:rPr>
                <w:sz w:val="18"/>
                <w:szCs w:val="18"/>
                <w:color w:val="auto"/>
              </w:rPr>
            </w:pPr>
          </w:p>
        </w:tc>
      </w:tr>
      <w:tr>
        <w:trPr>
          <w:trHeight w:val="217"/>
        </w:trPr>
        <w:tc>
          <w:tcPr>
            <w:tcW w:w="840" w:type="dxa"/>
            <w:vAlign w:val="bottom"/>
          </w:tcPr>
          <w:p>
            <w:pPr>
              <w:spacing w:after="0"/>
              <w:rPr>
                <w:sz w:val="18"/>
                <w:szCs w:val="18"/>
                <w:color w:val="auto"/>
              </w:rPr>
            </w:pPr>
          </w:p>
        </w:tc>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liability (1)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180,986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900" w:hanging="44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operating lease liability is recorded in accounts payable, accrued expenses and other liabilities in the accompanying condensed consolidated balance sheets.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 expense for the three months ended March 31, 2023 and 2022 amounted to $40,815 and $46,938, respectively, and is included in the accompanying condensed consolidated statements of operations and comprehensive income (loss) within other underwriting expenses.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14, 2019, the Company and Barry B. Goldstein, the Company’s President, Chief Executive Officer and Executive Chairman of the Board, entered into a Second Amended and Restated Employment Agreement (the “Second Amended Goldstein Employment Agreement”). The Second Amended Goldstein Employment Agreement became effective as of January 1, 2020 and expired on December 31, 2022. The Second Amended Goldstein Employment Agreement extended the expiration date of the employment agreement in effect for Mr. Goldstein from December 31, 2021 to December 31, 2022.</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Second Amended Goldstein Employment Agreement, Mr. Goldstein was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award of between $945,000 and $2,835,000 based on a specified minimum increase in the Company’s adjusted book value per share (as defined in the Second Amended Goldstein Employment Agreement) as of December 31, 2022 as compared to December 31, 2019 (with the maximum LTC payment being due if the average per annum increase was at least 14%). Pursuant to the Third Amended Goldstein Employment Agreement (discussed below), Mr. Goldstein relinquished the right to receive the LTC. Pursuant to the Second Amended Goldstein Employment Agreement, in the event that Mr. Goldstein’s employment was terminated by the Company without cause or he resigned for good reason (each as defined in the Second Amended Goldstein Employment Agreement), Mr. Goldstein would have been entitled to receive his base salary and the 6% bonus for the remainder of the term. In addition, in the event of Mr. Goldstein’s death, his estate would have been entitled to receive his base salary and accrued bonus through the date of death. Further, in the event that Mr. Goldstein’s employment was terminated by the Company without cause or he resigned for good reason, or, in the event of the termination of Mr. Goldstein’s employment due to disability or death, Mr. Goldstein’s granted but unvested restricted stock awards would have vested. Mr. Goldstein would have been entitled, under certain circumstances, to a payment equal to 3.82 times his then annual salary and his accrued 6% bonus in the event of the termination of his employment within eighteen months following a change of control of the Company.</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Second Amended Goldstein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Also pursuant to the Second Amended Goldstein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will vest with respect to one-fourth of the award on each of December 29, 2023 and December 30, 2024 based on the continued provision of services through such dates. Further, pursuant to the Second Amended Goldstein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In January 2021, Mr. Goldstein was granted 21,000 shares of restricted stock pursuant to this provision. This grant vested with respect to one-half of the award on the first anniversary of the grant date and will vest with respect to one-fourth of the award on each of December 29, 2023 and December 30, 2024 based on the continued provision of services through such dates. In January 2022, Mr. Goldstein was granted 27,300 shares of restricted stock pursuant to this provision. This grant will vest with respect to one-half of the award on each of December 29, 2023 and December 30, 2024 based on the continued provision of services through such dates. Pursuant to the 2014 Plan, Mr. Goldstein’s unvested restricted stock awards will vest in the event of a change in control of the Company. In addition, in the event of the termination of Mr. Goldstein’s employment with the Company for any reason, his unvested restricted stock will vest.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27, 2022, the Company and Mr. Goldstein entered into a third amended and restated employment agreement which took effect as of January 1, 2023, and expires on December 31, 2024 (the “Third Amended Goldstein Employment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Third Amended Goldstein Employment Agreement, Mr. Goldstein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his base salary. 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16, 2019, the Company and Meryl Golden entered into an employment agreement (the “Golden Employment Agreement”) pursuant to which Ms. Golden serves as the Company’s Chief Operating Officer. Ms. Golden also serves as KICO’s President and Chief Operating Officer. The Golden Employment Agreement became effective as of September 25, 2019 (amended on December 24, 2020) and expired on December 31, 2022.</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Golden Employment Agreement, Ms. Golden was entitled to receive an annual salary of $500,000. The Golden Employment Agreement also provided for the grant on the effective date of a five year option for the purchase of 50,000 shares of the Company’s Common Stock pursuant to the 2014 Plan. The options granted vested in four equal installments, with the first installment vesting on the grant date, and the remaining installments vesting on the first, second, and third anniversaries of the grant date.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 Pursuant to the 2014 Plan, Ms. Golden’s outstanding stock options and restricted stock awards will vest in the event of a change in control of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27, 2022, the Company and Ms. Golden entered into a second amended and restated employment agreement which took effect as of January 1, 2023, and expires on December 31, 2024 (the “Second Amended Golden Employment Agreement”).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Second Amended Golden Employment Agreement, Ms. Golden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is entitled to receive a grant, under the terms of the 2014 Plan, during each of January 2023 and January 2024, under certain circumstances, of a number of shares of restricted stock determined by dividing $136,500 by the fair market value of the Company’s Common Stock on the date of grant. In January 2023, Ms. Golden was granted 101,111 shares of restricted stock pursuant to this provision. The 2023 grant will vest with respect to one-half of the award on the first anniversary of the grant date and one-half of the award on December 31, 2024, based on the continued provision of services through such dates. The 2024 grant will vest on December 31, 2024, based on the continued provision of services through such date. In the event that the Company is precluded from making a grant in 2024, then instead Ms. Golden shall be entitled to receive a cash bonus of $136,500 for such year.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Bonus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the Company did not accrue for, or pay, bonuses related to an employee bonus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 (k) Plan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$85,000 and $62,000, respectively, of expense for the three months ended March 31, 2023 and 2022, related to the 401(k) Plan, which is recorded in other underwriting expenses on the accompanying condensed consolidated statements of operations and comprehensive income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18, 2018, the Company adopted the Kingstone Companies, Inc. Deferred Compensation Plan (the “Deferred Compensation Plan”). Effective December 22, 2022, the Company terminated the Deferred Compensation Plan. The assets of the Deferred Compensation Plan will be liquidated by making payments to Participants in full satisfaction of their interest in the Deferred Compensation Plan (“Termination Payments”), which Termination Payments will be made no earlier than December 22, 2023 and will be completed no later than December 22, 2024.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deferred compensation liability as of March 31, 2023 and December 31, 2022 amounted to $855,580 and $1,155,860, respectively, and is recorded in accounts payable, accrued expenses and other liabilities in the accompanying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evaluated events that occurred subsequent to March 31, 2023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 Best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4, 2023, KICO’s A.M. Best financial strength rating was downgraded from B (Fair) to B- (Fair) and its long-term issuer credit rating was downgraded from “bb” (Fair) to “bb-” (Fair). The outlook of the credit ratings remained at negative.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Participation Plan</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May 10, 2023, the Company’s Board of Directors approved an amendment to the 2014 Plan, subject to shareholder approval, to increase the maximum shares of Common Stock of the Company that are authorized to be issued pursuant to the 2014 Plan to 1,900,000 (see Note 8 – Stockholders’ Equity).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29" w:lineRule="exact"/>
        <w:rPr>
          <w:sz w:val="20"/>
          <w:szCs w:val="20"/>
          <w:color w:val="auto"/>
        </w:rPr>
      </w:pPr>
    </w:p>
    <w:p>
      <w:pPr>
        <w:jc w:val="both"/>
        <w:ind w:firstLine="608"/>
        <w:spacing w:after="0" w:line="257" w:lineRule="auto"/>
        <w:rPr>
          <w:sz w:val="20"/>
          <w:szCs w:val="20"/>
          <w:color w:val="auto"/>
        </w:rPr>
      </w:pPr>
      <w:r>
        <w:rPr>
          <w:rFonts w:ascii="Arial" w:cs="Arial" w:eastAsia="Arial" w:hAnsi="Arial"/>
          <w:sz w:val="18"/>
          <w:szCs w:val="18"/>
          <w:color w:val="auto"/>
        </w:rPr>
        <w:t>We offer property and casualty insurance products through our wholly owned subsidiary, Kingstone Insurance Company (“KICO”). KICO’s insureds are located primarily in downstate New York, consisting of New York City, Long Island and Westchester County, although we are writing business in New Jersey, Rhode Island, Connecticut and Massachusetts. We are licensed in the States of New York, New Jersey, Rhode Island, Connecticut, Massachusetts, Pennsylvania, Maine, and New Hampshire. For the three months ended March 31, 2023, 87.0% of KICO’s direct written premiums came from the New York policies.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and Cosi-related operating expenses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are primarily, occupancy and consulting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pacing w:after="0" w:line="170" w:lineRule="exact"/>
        <w:rPr>
          <w:sz w:val="20"/>
          <w:szCs w:val="20"/>
          <w:color w:val="auto"/>
        </w:rPr>
      </w:pPr>
    </w:p>
    <w:p>
      <w:pPr>
        <w:jc w:val="both"/>
        <w:ind w:firstLine="608"/>
        <w:spacing w:after="0" w:line="27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March 31, 2023 and December 31, 2022, there were no commercial liability policies in-force. As of March 31, 2023 and December 31, 2022, these expired policies represent approximately 16.3% and 17.9%, respectively, of loss and LAE reserves net of reinsurance recoverables. See discussion below under “Additional Financial Information”.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is the ratio of net losses and LAE incurred to net premiums earned.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 See the Critical Accounting Policies and Estimates section within Item 7 “Management’s Discussion and Analysis of Financial Condition and Results of Operations” of our Annual Report on Form 10-K for the year ended December 31, 2022 for further information.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most critical accounting policies relate to the reporting of reserves for loss and LAE, including losses that have occurred but have not been reported prior to the reporting date, amounts recoverable from third party reinsurers, deferred income taxes, allowance for credit losses of investment securities, and the valuation of warrants. See Note 2 to the consolidated financial statements in our Annual Report on Form 10-K for the year ended December 31, 2022 and Note 2 of the condensed consolidated financial statements included in this Quarterly Report for accounting policies regarding the adoption of ASU 2016-13 effective January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Kingstone 2.0 (completed) and Kingstone 3.0 (underway)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in the fourth quarter of 2019, a series of strategic initiatives, coined “Kingstone 2.0” were commenced to modernize our Company. The pillars of the new strategy were as follows:</w:t>
      </w:r>
    </w:p>
    <w:p>
      <w:pPr>
        <w:spacing w:after="0" w:line="170" w:lineRule="exact"/>
        <w:rPr>
          <w:sz w:val="20"/>
          <w:szCs w:val="20"/>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Strengthen the management team by adding highly qualified professionals with deep domain experience and diverse backgrounds;</w:t>
      </w:r>
    </w:p>
    <w:p>
      <w:pPr>
        <w:spacing w:after="0" w:line="236" w:lineRule="exact"/>
        <w:rPr>
          <w:rFonts w:ascii="Arial" w:cs="Arial" w:eastAsia="Arial" w:hAnsi="Arial"/>
          <w:sz w:val="17"/>
          <w:szCs w:val="17"/>
          <w:color w:val="auto"/>
        </w:rPr>
      </w:pPr>
    </w:p>
    <w:p>
      <w:pPr>
        <w:ind w:left="900" w:hanging="44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expenses and increase efficiency by embracing technology including converting to a new policy management system, retiring multiple legacy systems and starting up a new claims system, among other technology initiatives;</w:t>
      </w:r>
    </w:p>
    <w:p>
      <w:pPr>
        <w:spacing w:after="0" w:line="170" w:lineRule="exact"/>
        <w:rPr>
          <w:rFonts w:ascii="Arial" w:cs="Arial" w:eastAsia="Arial" w:hAnsi="Arial"/>
          <w:sz w:val="18"/>
          <w:szCs w:val="18"/>
          <w:color w:val="auto"/>
        </w:rPr>
      </w:pPr>
    </w:p>
    <w:p>
      <w:pPr>
        <w:ind w:left="900" w:hanging="44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implement a new, more highly segmented product suite (Kingstone Select) which better matches rate to risk using advanced analytics and an abundance of data; and</w:t>
      </w:r>
    </w:p>
    <w:p>
      <w:pPr>
        <w:spacing w:after="0" w:line="170" w:lineRule="exact"/>
        <w:rPr>
          <w:rFonts w:ascii="Arial" w:cs="Arial" w:eastAsia="Arial" w:hAnsi="Arial"/>
          <w:sz w:val="18"/>
          <w:szCs w:val="18"/>
          <w:color w:val="auto"/>
        </w:rPr>
      </w:pPr>
    </w:p>
    <w:p>
      <w:pPr>
        <w:ind w:left="900" w:hanging="44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Better manage the Company’s catastrophe exposure in order to reduce loss cost and the growth rate of our Probable Maximum Loss (“PML”) in order to mitigate the impact of the emerging “hard market” in catastrophe reinsurance.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announced the substantive completion of Kingstone 2.0 in late 2022 and embarked on a new strategy to optimize our in-force business, which we coined as “Kingstone 3.0”. The four pillars of this new strategy entail:</w:t>
      </w:r>
    </w:p>
    <w:p>
      <w:pPr>
        <w:spacing w:after="0" w:line="170" w:lineRule="exact"/>
        <w:rPr>
          <w:sz w:val="20"/>
          <w:szCs w:val="20"/>
          <w:color w:val="auto"/>
        </w:rPr>
      </w:pPr>
    </w:p>
    <w:p>
      <w:pPr>
        <w:jc w:val="both"/>
        <w:ind w:left="900" w:hanging="443"/>
        <w:spacing w:after="0" w:line="26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Aggressively reducing the book of business in non-New York states, which has had a disproportionately negative impact on underwriting results, by slowing new business, re-underwriting the book, culling the agent base, reducing commissions, or other means, subject to regulatory constraints;</w:t>
      </w:r>
    </w:p>
    <w:p>
      <w:pPr>
        <w:spacing w:after="0" w:line="183" w:lineRule="exact"/>
        <w:rPr>
          <w:rFonts w:ascii="Arial" w:cs="Arial" w:eastAsia="Arial" w:hAnsi="Arial"/>
          <w:sz w:val="18"/>
          <w:szCs w:val="18"/>
          <w:color w:val="auto"/>
        </w:rPr>
      </w:pPr>
    </w:p>
    <w:p>
      <w:pPr>
        <w:ind w:left="900" w:hanging="44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Adjusting pricing to stay ahead of loss trends, including inflation, by filing the maximum annual rate change that can be supported in each state and product and ensuring all policyholders are insured to value;</w:t>
      </w:r>
    </w:p>
    <w:p>
      <w:pPr>
        <w:spacing w:after="0" w:line="170" w:lineRule="exact"/>
        <w:rPr>
          <w:rFonts w:ascii="Arial" w:cs="Arial" w:eastAsia="Arial" w:hAnsi="Arial"/>
          <w:sz w:val="18"/>
          <w:szCs w:val="18"/>
          <w:color w:val="auto"/>
        </w:rPr>
      </w:pPr>
    </w:p>
    <w:p>
      <w:pPr>
        <w:ind w:left="900" w:hanging="44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Tightly managing reinsurance requirements and costs, using risk selection and other underwriting capabilities to manage the growth rate of our PML; and</w:t>
      </w:r>
    </w:p>
    <w:p>
      <w:pPr>
        <w:spacing w:after="0" w:line="170" w:lineRule="exact"/>
        <w:rPr>
          <w:rFonts w:ascii="Arial" w:cs="Arial" w:eastAsia="Arial" w:hAnsi="Arial"/>
          <w:sz w:val="18"/>
          <w:szCs w:val="18"/>
          <w:color w:val="auto"/>
        </w:rPr>
      </w:pPr>
    </w:p>
    <w:p>
      <w:pPr>
        <w:ind w:left="900" w:hanging="44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Continuing expense reduction focus with a goal of reducing the net expense ratio to 33% by year-end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actions taken will have the intended effect and will result in a return to profitability for the Company beginning in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2023 Compared to Three Months Ended March 31, 2022</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1"/>
              </w:rPr>
              <w:t>Three months ended March 31,</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20" w:type="dxa"/>
            <w:vAlign w:val="bottom"/>
          </w:tcPr>
          <w:p>
            <w:pPr>
              <w:ind w:left="28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Assumed written premiums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5760" w:type="dxa"/>
            <w:vAlign w:val="bottom"/>
          </w:tcPr>
          <w:p>
            <w:pPr>
              <w:ind w:left="220"/>
              <w:spacing w:after="0"/>
              <w:rPr>
                <w:sz w:val="20"/>
                <w:szCs w:val="20"/>
                <w:color w:val="auto"/>
              </w:rPr>
            </w:pPr>
            <w:r>
              <w:rPr>
                <w:rFonts w:ascii="Arial" w:cs="Arial" w:eastAsia="Arial" w:hAnsi="Arial"/>
                <w:sz w:val="18"/>
                <w:szCs w:val="18"/>
                <w:color w:val="auto"/>
              </w:rPr>
              <w:t>Ceded written premiums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Ceded to quota share treaties (1)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rPr>
              <w:t>Ceded to excess of loss treaties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Ceded to catastrophe treaties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Total ceded written premiums</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23,628</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18,066</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5,562</w:t>
            </w: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Net written premiums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rPr>
              <w:t>Ceded to quota share treaties (1)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(638)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2,591</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net unearned premiums</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rPr>
              <w:t>Direct and assumed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4,554</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Ceded to reinsurance treaties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(21,675)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(18,703)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28,255</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26,673</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Ceding commission revenue (1)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Net gains (losses) on investments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(4,398)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5,623</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36,628</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28,551</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8,076</w:t>
            </w: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w w:val="92"/>
              </w:rPr>
              <w:t>Loss and loss adjustment expenses excluding the effect of catastrophes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5,401</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from catastrophes (2)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Total direct and assumed loss and loss adjustment expenses</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37,296</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33,346</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rPr>
              <w:t>Ceded loss and loss adjustment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Loss and loss adjustment expenses excluding the effect of catastrophes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rPr>
              <w:t>Losses from catastrophes (2)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ceded loss and loss adjustment expenses</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and loss adjustment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w w:val="92"/>
              </w:rPr>
              <w:t>Loss and loss adjustment expenses excluding the effect of catastrophes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Losses from catastrophes (2)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5760" w:type="dxa"/>
            <w:vAlign w:val="bottom"/>
          </w:tcPr>
          <w:p>
            <w:pPr>
              <w:ind w:left="420"/>
              <w:spacing w:after="0"/>
              <w:rPr>
                <w:sz w:val="20"/>
                <w:szCs w:val="20"/>
                <w:color w:val="auto"/>
              </w:rPr>
            </w:pPr>
            <w:r>
              <w:rPr>
                <w:rFonts w:ascii="Arial" w:cs="Arial" w:eastAsia="Arial" w:hAnsi="Arial"/>
                <w:sz w:val="18"/>
                <w:szCs w:val="18"/>
                <w:color w:val="auto"/>
              </w:rPr>
              <w:t>Net loss and loss adjustment expenses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(11,666)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(2,468)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ind w:left="900" w:hanging="4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December 31, 2021, we entered into a 30% personal lines quota share treaty.</w:t>
      </w:r>
    </w:p>
    <w:p>
      <w:pPr>
        <w:spacing w:after="0" w:line="23" w:lineRule="exact"/>
        <w:rPr>
          <w:rFonts w:ascii="Arial" w:cs="Arial" w:eastAsia="Arial" w:hAnsi="Arial"/>
          <w:sz w:val="18"/>
          <w:szCs w:val="18"/>
          <w:color w:val="auto"/>
        </w:rPr>
      </w:pPr>
    </w:p>
    <w:p>
      <w:pPr>
        <w:jc w:val="both"/>
        <w:ind w:left="900" w:hanging="443"/>
        <w:spacing w:after="0" w:line="25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three months ended March 31, 2023 and 2022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5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8"/>
                <w:szCs w:val="18"/>
                <w:b w:val="1"/>
                <w:bCs w:val="1"/>
                <w:color w:val="auto"/>
                <w:w w:val="91"/>
              </w:rPr>
              <w:t>Three months ended March 31,</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281"/>
              <w:spacing w:after="0" w:line="191" w:lineRule="exact"/>
              <w:rPr>
                <w:sz w:val="20"/>
                <w:szCs w:val="20"/>
                <w:color w:val="auto"/>
              </w:rPr>
            </w:pPr>
            <w:r>
              <w:rPr>
                <w:rFonts w:ascii="Arial" w:cs="Arial" w:eastAsia="Arial" w:hAnsi="Arial"/>
                <w:sz w:val="18"/>
                <w:szCs w:val="18"/>
                <w:b w:val="1"/>
                <w:bCs w:val="1"/>
                <w:color w:val="auto"/>
                <w:w w:val="98"/>
              </w:rPr>
              <w:t>Percentage</w:t>
            </w:r>
          </w:p>
        </w:tc>
        <w:tc>
          <w:tcPr>
            <w:tcW w:w="1120" w:type="dxa"/>
            <w:vAlign w:val="bottom"/>
          </w:tcPr>
          <w:p>
            <w:pPr>
              <w:ind w:left="280"/>
              <w:spacing w:after="0" w:line="191"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1"/>
              </w:rPr>
              <w:t>Point Change</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r>
      <w:tr>
        <w:trPr>
          <w:trHeight w:val="426"/>
        </w:trPr>
        <w:tc>
          <w:tcPr>
            <w:tcW w:w="5780" w:type="dxa"/>
            <w:vAlign w:val="bottom"/>
            <w:gridSpan w:val="2"/>
          </w:tcPr>
          <w:p>
            <w:pPr>
              <w:spacing w:after="0"/>
              <w:rPr>
                <w:sz w:val="20"/>
                <w:szCs w:val="20"/>
                <w:color w:val="auto"/>
              </w:rPr>
            </w:pPr>
            <w:r>
              <w:rPr>
                <w:rFonts w:ascii="Arial" w:cs="Arial" w:eastAsia="Arial" w:hAnsi="Arial"/>
                <w:sz w:val="18"/>
                <w:szCs w:val="18"/>
                <w:color w:val="auto"/>
              </w:rPr>
              <w:t>Key ratios:</w:t>
            </w:r>
          </w:p>
        </w:tc>
        <w:tc>
          <w:tcPr>
            <w:tcW w:w="1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Net underwriting expense ratio</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34.7%</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38.5%</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128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Direct written premiums during the three months ended March 31, 2023 (“Three Months 2023”) were $47,597,000 compared to $42,984,000 during the three months ended March 31, 2022 (“Three Months 2022”). The increase of $4,613,000, or 10.7%, was primarily due an increase in premiums from our personal lines business.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Direct written premiums from our personal lines business for Three Months 2023 were $44,171,000, an increase of $4,008,000, or 10.0%, from $40,163,000 in Three Months 2022. The 10.0% increase in premiums from our personal lines business was primarily due to rate increases offset by the decrease in premiums associated with a 2.1% decrease in policies in force as of March 31, 2023 compared to March 31, 2022. The rate increases achieved along with a decrease in policies in force is in accordance with both our Kingstone 2.0 and Kingstone 3.0 strategic plans.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Direct written premiums from our livery physical damage business for Three Months 2023 were $3,406,000, an increase of $633,000, or 22.8%, from $2,773,000 in Three Months 2022. The increase in livery physical damage direct written premiums was due to an increasing number of policies and an increase in the values of the autos insured.</w:t>
      </w:r>
    </w:p>
    <w:p>
      <w:pPr>
        <w:spacing w:after="0" w:line="184" w:lineRule="exact"/>
        <w:rPr>
          <w:sz w:val="20"/>
          <w:szCs w:val="20"/>
          <w:color w:val="auto"/>
        </w:rPr>
      </w:pPr>
    </w:p>
    <w:p>
      <w:pPr>
        <w:jc w:val="both"/>
        <w:ind w:firstLine="883"/>
        <w:spacing w:after="0" w:line="257" w:lineRule="auto"/>
        <w:rPr>
          <w:sz w:val="20"/>
          <w:szCs w:val="20"/>
          <w:color w:val="auto"/>
        </w:rPr>
      </w:pPr>
      <w:r>
        <w:rPr>
          <w:rFonts w:ascii="Arial" w:cs="Arial" w:eastAsia="Arial" w:hAnsi="Arial"/>
          <w:sz w:val="18"/>
          <w:szCs w:val="18"/>
          <w:color w:val="auto"/>
        </w:rPr>
        <w:t>Beginning in 2017, we started writing personal lines policies in New Jersey. Through 2019 we expanded to Rhode Island, Massachusetts and Connecticut. We refer to our New York business as our “Core” business and the business outside of New York as our “Expansion” business. Direct written premiums from our Core business were $41,424,000 in Three Months 2023 compared to $34,684,000 in Three Months 2022. Direct written premiums from our Expansion business were $6,173,000 in Three Months 2023 down from $8,336,000 in Three Months 2022 consistent with a key pillar of our Kingstone 3.0 strategy to reduce our Expansion business due to profitability concerns.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December 31, 2021, we entered into a quota share reinsurance treaty for our personal lines business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 Net written premiums decreased $949,000, or 3.8%, to $23,969,000 in Three Months 2023 from $24,918,000 in Three Months 2022. Net written premiums include direct premiums, less the amount of written premiums ceded under our reinsurance treaties (quota share, excess of loss, and catastrophe). In Three Months 2023, our premiums ceded under quota share treaties increased by $5,442,000 in comparison to ceded premiums in Three Months 2022 (see table above). The increase in Three Months 2023 was attributable to the runoff of an 8.5% portion of the 30% 2021/2023 Treaty. The remainder of the 2021/2023 Treaty was on a cutoff basis and the new 2023/2024 Treaty was placed for 30% on January 1, 2023. Our personal lines business was subject to the 2023/2024 Treaty in Three Months 2023, and the 2021-2023 Treaty in Three Months 2022.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Three Months 2023, our ceded excess of loss reinsurance premiums increased by $216,000 over the comparable ceded premiums for Three Months 2022. The increase was due to an increase in subject premiums and the heightened cost of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An increase in our personal lines business results in an increase in premiums ceded under our catastrophe treaties if reinsurance rates are stable or are increasing. In accordance with our Kingstone 2.0 and Kingstone 3.0 goals, we have reduced our PML, and in the Three Months 2023, our premiums ceded under catastrophe treaties decreased by $96,000 as compared to the comparable ceded premiums in Three Months 2022, in spite of a large catastrophe reinsurance rate increase on our book effective July 1, 2022.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premiums earned increased $1,582,000, or 5.9%, to $28,255,000 in Three Months 2023 from $26,673,000 in Three Months 2022. The increase was due in part to the 10.7% increase in direct written premiums during Three Months 2023, but also from the increased premiums written in prior periods due to rate increases and increased replacement costs. The run-off of a portion of the 2021-2023 Treaty increased the premiums ceded and reduced the growth of net premiums earned.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r>
        <w:rPr>
          <w:rFonts w:ascii="Arial" w:cs="Arial" w:eastAsia="Arial" w:hAnsi="Arial"/>
          <w:sz w:val="17"/>
          <w:szCs w:val="17"/>
          <w:b w:val="1"/>
          <w:bCs w:val="1"/>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91"/>
              </w:rPr>
              <w:t>Three months ended March 31,</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8"/>
                <w:szCs w:val="18"/>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5,445</w:t>
            </w:r>
          </w:p>
        </w:tc>
        <w:tc>
          <w:tcPr>
            <w:tcW w:w="24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764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Ceding commission revenue was $5,445,000 in Three Months 2023 compared to $4,681,000 in Three Months 2022. The increase of $764,000 was due to an increase in provisional ceding commissions earned offset by a decrease in contingent ceding commissions earned. See below for a discussion of provisional ceding commissions earned and contingent ceding commissions earned.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Three Months 2023 we earned provisional ceding commissions of $5,447,000 from personal lines earned premiums ceded under the 2023/2024 Treaty, and in Three Months 2022 we earned provisional ceding commissions of $4,542,000 from personal lines earned premiums ceded under the 2021/2023 Treaty. The increase of $905,000 in provisional ceding commissions earned was due to the increase premiums ceded under these treaties during Three Months 2023 compared to Three Months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structure of the 2023/2024 Treaty and the 2021/2023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investment income was $1,541,000 in Three Months 2023 compared to $1,359,000 in Three Months 2022, an increase of $182,000, or 13.4%. The increase was due to higher interest rates earned on cash balances The average yield on non-cash invested assets was 3.35% as of March 31, 2023 compared to 3.39% as of March 31, 2022.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and invested assets were $190,665,000 as of March 31, 2023 compared to $203,888,000 as of March 31, 2022. The $13,223,000 decrease in cash and invested assets was primarily attributable to increased disbursements of loss costs in connection with higher severity and inflation’s impact on losses along with catastrophe losses incurred in 2023 and prior periods. An increase in unrealized losses on our investment portfolio also contributed to the reduction.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(Losses) on Investments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gains on investments were $1,225,000 in Three Months 2023 compared to net (losses) of $(4,398,000) in Three Months 2022. Unrealized gains on our equity securities and other investments in Three Months 2023 were $1,228,000, compared to net unrealized (losses) of $(4,476,000) in Three Months 2022. Realized (losses) on sales of investments were $(3,000) in Three Months 2023 compared to realized gains of $78,000 in Three Months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income was $161,000 in Three Months 2023 compared to $236,000 in Three Months 2022, a decrease of $75,000, or 31.8%.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and LAE was $25,039,000 for Three Months 2023 compared to $22,941,000 for Three Months 2022. The net loss ratio was 88.6% in Three Months 2023 compared to 86.0% in Three Months 2022, an increase of 2.6 percentage points.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717"/>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943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Three Months 2023, the net loss ratio was higher than for Three Months 2022 mainly driven by an increased number of large losses, attendant to fire and water claims.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two winter storm events classified as a catastrophe for Three Months 2023, including a major one at the beginning of February. The estimated total net catastrophe losses for the calendar quarter were $3,743,000, which contributed 13.2 points to the loss ratio. This compares to an 11.3-point impact from catastrophe events for Three Months 2022.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underlying loss ratio (loss ratio excluding the impact of catastrophe and prior year development) was 75.4% for Three Months 2023, an increase of 0.7 points from the 74.7% underlying loss ratio recorded for Three Months 2022. Unlike Three Months 2022 which was heavily impacted by non-catastrophe weather losses, the Three Months 2023 underlying loss ratio was high due to an increased number of large non-weather losses, primarily water.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year development was stable for Three Months 2023 as compared to Three Months 2022. There was an overall favorable development of $3,000, which had a minimal impact on the net loss ratio.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color w:val="auto"/>
        </w:rPr>
        <w:t>Commission expense was $8,540,000 in Three Months 2023 or 17.1% of direct earned premiums. Commission expense was $8,351,000 in Three Months 2022 or 18.4% of direct earned premiums. The increase of $189,000 was primarily due to an increase in direct earned premiums of $4,554,000 to $49,930,000 but offset in part by a reduction of commission rates on our on our legacy policies in accordance with Kingsone 3.0 as well as the lower commission rate paid on Select products as compared to legacy.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underwriting expenses were $6,872,000, or 13.8% of direct earned premiums, in Three Months 2023 compared to $6,816,000, or 15.0% of direct earned premiums, in Three Months 2022. The increase of $56,000, or 0.8%, was primarily due to increases in expenses related to our growth in direct earned premiums and salaries, partially offset by decreases in professional fees and policy management system fees as result of the completion of our policy management system conversion, allowing us to eliminate multiple legacy systems.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largest single component of other underwriting expenses is salaries and employment costs, with costs of $2,933,000 in Three Months 2023 compared to $2,549,000 in Three Months 2022. The increase of $384,000, or 15.1%, is greater than the 10.7% increase in direct written premiums. In the periods following Three Months 2022, we continued to strengthen our professional team by investing in the hiring of higher-level and higher compensated managers and staff needed to manage the business consistent with our Kingstone 2.0 and Kingstone 3.0 strategies.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net underwriting expense ratio in Three Months 2023 was 34.7% compared to 38.5% in Three Months 2022. The following table shows the individual components of our net underwriting expense ratio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21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Three months ended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2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Percentage</w:t>
            </w:r>
          </w:p>
        </w:tc>
      </w:tr>
      <w:tr>
        <w:trPr>
          <w:trHeight w:val="210"/>
        </w:trPr>
        <w:tc>
          <w:tcPr>
            <w:tcW w:w="7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Point Change</w:t>
            </w:r>
          </w:p>
        </w:tc>
      </w:tr>
      <w:tr>
        <w:trPr>
          <w:trHeight w:val="209"/>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underwriting expenses</w:t>
            </w: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420"/>
              <w:spacing w:after="0"/>
              <w:rPr>
                <w:sz w:val="20"/>
                <w:szCs w:val="20"/>
                <w:color w:val="auto"/>
              </w:rPr>
            </w:pPr>
            <w:r>
              <w:rPr>
                <w:rFonts w:ascii="Arial" w:cs="Arial" w:eastAsia="Arial" w:hAnsi="Arial"/>
                <w:sz w:val="18"/>
                <w:szCs w:val="18"/>
                <w:color w:val="auto"/>
              </w:rPr>
              <w:t>Employment costs</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10.4%</w:t>
            </w:r>
          </w:p>
        </w:tc>
        <w:tc>
          <w:tcPr>
            <w:tcW w:w="7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Underwriting fees (inspections/surveys)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980" w:type="dxa"/>
            <w:vAlign w:val="bottom"/>
            <w:gridSpan w:val="2"/>
          </w:tcPr>
          <w:p>
            <w:pPr>
              <w:ind w:left="420"/>
              <w:spacing w:after="0"/>
              <w:rPr>
                <w:sz w:val="20"/>
                <w:szCs w:val="20"/>
                <w:color w:val="auto"/>
              </w:rPr>
            </w:pPr>
            <w:r>
              <w:rPr>
                <w:rFonts w:ascii="Arial" w:cs="Arial" w:eastAsia="Arial" w:hAnsi="Arial"/>
                <w:sz w:val="18"/>
                <w:szCs w:val="18"/>
                <w:color w:val="auto"/>
              </w:rPr>
              <w:t>IT expenses</w:t>
            </w: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Professional fees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7980" w:type="dxa"/>
            <w:vAlign w:val="bottom"/>
            <w:gridSpan w:val="2"/>
          </w:tcPr>
          <w:p>
            <w:pPr>
              <w:ind w:left="420"/>
              <w:spacing w:after="0"/>
              <w:rPr>
                <w:sz w:val="20"/>
                <w:szCs w:val="20"/>
                <w:color w:val="auto"/>
              </w:rPr>
            </w:pPr>
            <w:r>
              <w:rPr>
                <w:rFonts w:ascii="Arial" w:cs="Arial" w:eastAsia="Arial" w:hAnsi="Arial"/>
                <w:sz w:val="18"/>
                <w:szCs w:val="18"/>
                <w:color w:val="auto"/>
              </w:rPr>
              <w:t>Other expenses</w:t>
            </w: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r>
      <w:tr>
        <w:trPr>
          <w:trHeight w:val="210"/>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underwriting expenses</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Borders>
              <w:left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Commission expense</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0"/>
        </w:trPr>
        <w:tc>
          <w:tcPr>
            <w:tcW w:w="724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Ceding commission revenue</w:t>
            </w:r>
          </w:p>
        </w:tc>
        <w:tc>
          <w:tcPr>
            <w:tcW w:w="3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420"/>
              <w:spacing w:after="0"/>
              <w:rPr>
                <w:sz w:val="20"/>
                <w:szCs w:val="20"/>
                <w:color w:val="auto"/>
              </w:rPr>
            </w:pPr>
            <w:r>
              <w:rPr>
                <w:rFonts w:ascii="Arial" w:cs="Arial" w:eastAsia="Arial" w:hAnsi="Arial"/>
                <w:sz w:val="18"/>
                <w:szCs w:val="18"/>
                <w:color w:val="auto"/>
              </w:rPr>
              <w:t>Provisional</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(19.3)</w:t>
            </w:r>
          </w:p>
        </w:tc>
        <w:tc>
          <w:tcPr>
            <w:tcW w:w="7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Contingent</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0"/>
        </w:trPr>
        <w:tc>
          <w:tcPr>
            <w:tcW w:w="7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240" w:type="dxa"/>
            <w:vAlign w:val="bottom"/>
          </w:tcPr>
          <w:p>
            <w:pPr>
              <w:ind w:left="220"/>
              <w:spacing w:after="0"/>
              <w:rPr>
                <w:sz w:val="20"/>
                <w:szCs w:val="20"/>
                <w:color w:val="auto"/>
              </w:rPr>
            </w:pPr>
            <w:r>
              <w:rPr>
                <w:rFonts w:ascii="Arial" w:cs="Arial" w:eastAsia="Arial" w:hAnsi="Arial"/>
                <w:sz w:val="18"/>
                <w:szCs w:val="18"/>
                <w:color w:val="auto"/>
              </w:rPr>
              <w:t>Total ceding commission revenue</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(19.3)</w:t>
            </w:r>
          </w:p>
        </w:tc>
        <w:tc>
          <w:tcPr>
            <w:tcW w:w="7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(17.5)</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r>
      <w:tr>
        <w:trPr>
          <w:trHeight w:val="209"/>
        </w:trPr>
        <w:tc>
          <w:tcPr>
            <w:tcW w:w="7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Other income</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7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0"/>
        </w:trPr>
        <w:tc>
          <w:tcPr>
            <w:tcW w:w="7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underwriting expense ratio</w:t>
            </w:r>
          </w:p>
        </w:tc>
        <w:tc>
          <w:tcPr>
            <w:tcW w:w="7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34.7%</w:t>
            </w:r>
          </w:p>
        </w:tc>
        <w:tc>
          <w:tcPr>
            <w:tcW w:w="7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r>
      <w:tr>
        <w:trPr>
          <w:trHeight w:val="27"/>
        </w:trPr>
        <w:tc>
          <w:tcPr>
            <w:tcW w:w="7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7980" w:type="dxa"/>
            <w:vAlign w:val="bottom"/>
            <w:gridSpan w:val="2"/>
          </w:tcPr>
          <w:p>
            <w:pPr>
              <w:ind w:left="3720"/>
              <w:spacing w:after="0"/>
              <w:rPr>
                <w:sz w:val="20"/>
                <w:szCs w:val="20"/>
                <w:color w:val="auto"/>
              </w:rPr>
            </w:pPr>
            <w:r>
              <w:rPr>
                <w:rFonts w:ascii="Arial" w:cs="Arial" w:eastAsia="Arial" w:hAnsi="Arial"/>
                <w:sz w:val="18"/>
                <w:szCs w:val="18"/>
                <w:i w:val="1"/>
                <w:iCs w:val="1"/>
                <w:color w:val="auto"/>
              </w:rPr>
              <w:t>(Components may not sum to totals due to rounding)</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724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52</w:t>
            </w: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08"/>
        <w:spacing w:after="0" w:line="342" w:lineRule="auto"/>
        <w:rPr>
          <w:sz w:val="20"/>
          <w:szCs w:val="20"/>
          <w:color w:val="auto"/>
        </w:rPr>
      </w:pPr>
      <w:r>
        <w:rPr>
          <w:rFonts w:ascii="Arial" w:cs="Arial" w:eastAsia="Arial" w:hAnsi="Arial"/>
          <w:sz w:val="16"/>
          <w:szCs w:val="16"/>
          <w:color w:val="auto"/>
        </w:rPr>
        <w:t>Other operating expenses, related to the expenses of our holding company and Cosi, were $663,000 for Three Months 2023 compared to $882,000 for Three Months 2022. The following table shows a breakdown of the significant components of other operating expenses for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w w:val="98"/>
              </w:rPr>
              <w:t>March 31,</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34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Employement costs</w:t>
            </w:r>
          </w:p>
        </w:tc>
        <w:tc>
          <w:tcPr>
            <w:tcW w:w="900" w:type="dxa"/>
            <w:vAlign w:val="bottom"/>
            <w:gridSpan w:val="2"/>
            <w:shd w:val="clear" w:color="auto" w:fill="CCEEFF"/>
          </w:tcPr>
          <w:p>
            <w:pPr>
              <w:jc w:val="right"/>
              <w:ind w:right="616"/>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1,466.7%</w:t>
            </w:r>
          </w:p>
        </w:tc>
        <w:tc>
          <w:tcPr>
            <w:tcW w:w="0" w:type="dxa"/>
            <w:vAlign w:val="bottom"/>
          </w:tcPr>
          <w:p>
            <w:pPr>
              <w:spacing w:after="0"/>
              <w:rPr>
                <w:sz w:val="1"/>
                <w:szCs w:val="1"/>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rPr>
              <w:t>Bonuses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compensation</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rPr>
              <w:t>Professional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Directors fees</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tcPr>
          <w:p>
            <w:pPr>
              <w:ind w:left="220"/>
              <w:spacing w:after="0"/>
              <w:rPr>
                <w:sz w:val="20"/>
                <w:szCs w:val="20"/>
                <w:color w:val="auto"/>
              </w:rPr>
            </w:pPr>
            <w:r>
              <w:rPr>
                <w:rFonts w:ascii="Arial" w:cs="Arial" w:eastAsia="Arial" w:hAnsi="Arial"/>
                <w:sz w:val="18"/>
                <w:szCs w:val="18"/>
                <w:color w:val="auto"/>
              </w:rPr>
              <w:t>Total other operating expenses</w:t>
            </w:r>
          </w:p>
        </w:tc>
        <w:tc>
          <w:tcPr>
            <w:tcW w:w="120" w:type="dxa"/>
            <w:vAlign w:val="bottom"/>
          </w:tcPr>
          <w:p>
            <w:pPr>
              <w:spacing w:after="0"/>
              <w:rPr>
                <w:sz w:val="18"/>
                <w:szCs w:val="18"/>
                <w:color w:val="auto"/>
              </w:rPr>
            </w:pP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663</w:t>
            </w:r>
          </w:p>
        </w:tc>
        <w:tc>
          <w:tcPr>
            <w:tcW w:w="120" w:type="dxa"/>
            <w:vAlign w:val="bottom"/>
          </w:tcPr>
          <w:p>
            <w:pPr>
              <w:spacing w:after="0"/>
              <w:rPr>
                <w:sz w:val="18"/>
                <w:szCs w:val="18"/>
                <w:color w:val="auto"/>
              </w:rPr>
            </w:pPr>
          </w:p>
        </w:tc>
        <w:tc>
          <w:tcPr>
            <w:tcW w:w="9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882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08"/>
        <w:spacing w:after="0" w:line="286" w:lineRule="auto"/>
        <w:rPr>
          <w:sz w:val="20"/>
          <w:szCs w:val="20"/>
          <w:color w:val="auto"/>
        </w:rPr>
      </w:pPr>
      <w:r>
        <w:rPr>
          <w:rFonts w:ascii="Arial" w:cs="Arial" w:eastAsia="Arial" w:hAnsi="Arial"/>
          <w:sz w:val="17"/>
          <w:szCs w:val="17"/>
          <w:color w:val="auto"/>
        </w:rPr>
        <w:t>The decrease in Three Months 2023 of $219,000, or 24.8%, as compared to Three Months 2022 was primarily due to a decrease in equity compensation, partially offset by an increase in employment costs. The increase in employment costs was due to the hiring of our new Chief Financial Officer in Three Months 2023 and fluctuations in deferred compensation liability related to changes in the underlying invested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and amortization was $808,000 in Three Months 2023 compared to $770,000 in Three Months 2022. The increase of $38,000, or 4.9%, in depreciation and amortization was primarily due to the completion and deployment of our customized policy management software as planned for in Kingstone 2.0, now allowing us to consolidate multiple legacy systems into one efficient system and retire those older more costly and less reliable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in Three Months 2023 was $1,010,000 compared to $457,000 in Three Months 2022, an increase of $553,000 or 121.0%. In Three Months 2023, as disclosed in Note 7 to the condensed consolidated financial statements, we incurred increased interest expense in connection with the 2022 Notes, which provide for interest at the rate of 12% per annum, and the 2022 equipment financing. In Three Months 2022, we incurred interest expense in connection with the 2017 Notes, our $30.0 million issuance of long-term debt in December 2017, which provided for interest at the rate of 5.5% per annum.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benefit in Three Months 2023 was $1,249,000, which resulted in an effective tax benefit rate of 19.8%. Income tax benefit in Three Months 2022 was $2,468,000, which resulted in an effective tax rate of 21.2%. Loss before taxes was $6,304,000 in Three Months 2023 compared to $11,666,000 in Three Months 2022. The difference in effective tax rate is due to the effect of permanent differences in Three Months 2023 compared to Three Months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was $5,055,000 in Three Months 2023 compared to $9,198,000 in Three Months 2022. The decrease in net loss of $4,142,000 was due to the circumstances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Gross premiums written:</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44,170,938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40,163,149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3,405,668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2,773,280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20,840</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220"/>
              <w:spacing w:after="0"/>
              <w:rPr>
                <w:sz w:val="20"/>
                <w:szCs w:val="20"/>
                <w:color w:val="auto"/>
              </w:rPr>
            </w:pPr>
            <w:r>
              <w:rPr>
                <w:rFonts w:ascii="Arial" w:cs="Arial" w:eastAsia="Arial" w:hAnsi="Arial"/>
                <w:sz w:val="18"/>
                <w:szCs w:val="18"/>
                <w:color w:val="auto"/>
              </w:rPr>
              <w:t>Total gross premiums written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47,597,446</w:t>
            </w:r>
          </w:p>
        </w:tc>
        <w:tc>
          <w:tcPr>
            <w:tcW w:w="220" w:type="dxa"/>
            <w:vAlign w:val="bottom"/>
          </w:tcPr>
          <w:p>
            <w:pPr>
              <w:spacing w:after="0"/>
              <w:rPr>
                <w:sz w:val="18"/>
                <w:szCs w:val="18"/>
                <w:color w:val="auto"/>
              </w:rPr>
            </w:pP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42,983,897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Net premiums written: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20,551,687</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22,110,665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3,405,668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2,773,280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220"/>
              <w:spacing w:after="0"/>
              <w:rPr>
                <w:sz w:val="20"/>
                <w:szCs w:val="20"/>
                <w:color w:val="auto"/>
              </w:rPr>
            </w:pPr>
            <w:r>
              <w:rPr>
                <w:rFonts w:ascii="Arial" w:cs="Arial" w:eastAsia="Arial" w:hAnsi="Arial"/>
                <w:sz w:val="18"/>
                <w:szCs w:val="18"/>
                <w:color w:val="auto"/>
              </w:rPr>
              <w:t>Total net premiums written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23,968,747</w:t>
            </w:r>
          </w:p>
        </w:tc>
        <w:tc>
          <w:tcPr>
            <w:tcW w:w="220" w:type="dxa"/>
            <w:vAlign w:val="bottom"/>
          </w:tcPr>
          <w:p>
            <w:pPr>
              <w:spacing w:after="0"/>
              <w:rPr>
                <w:sz w:val="18"/>
                <w:szCs w:val="18"/>
                <w:color w:val="auto"/>
              </w:rPr>
            </w:pP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24,918,188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Net premiums earned: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25,019,085</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24,160,216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3,211,834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2,474,565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24,034</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80" w:type="dxa"/>
            <w:vAlign w:val="bottom"/>
          </w:tcPr>
          <w:p>
            <w:pPr>
              <w:ind w:left="220"/>
              <w:spacing w:after="0"/>
              <w:rPr>
                <w:sz w:val="20"/>
                <w:szCs w:val="20"/>
                <w:color w:val="auto"/>
              </w:rPr>
            </w:pPr>
            <w:r>
              <w:rPr>
                <w:rFonts w:ascii="Arial" w:cs="Arial" w:eastAsia="Arial" w:hAnsi="Arial"/>
                <w:sz w:val="18"/>
                <w:szCs w:val="18"/>
                <w:color w:val="auto"/>
              </w:rPr>
              <w:t>Total net premiums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28,254,953</w:t>
            </w:r>
          </w:p>
        </w:tc>
        <w:tc>
          <w:tcPr>
            <w:tcW w:w="220" w:type="dxa"/>
            <w:vAlign w:val="bottom"/>
          </w:tcPr>
          <w:p>
            <w:pPr>
              <w:spacing w:after="0"/>
              <w:rPr>
                <w:sz w:val="18"/>
                <w:szCs w:val="18"/>
                <w:color w:val="auto"/>
              </w:rPr>
            </w:pP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26,673,380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Net loss and loss adjustment expenses(3):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22,569,609</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21,036,154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1,385,141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830,569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(23,400)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Unallocated loss adjustment expenses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891,090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24,997,447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22,812,716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net loss and loss adjustment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25,039,410</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22,941,198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ratio(3):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Personal lines</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90.2%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Other(1)</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630.8%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00" w:hanging="443"/>
        <w:spacing w:after="0" w:line="25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8"/>
          <w:szCs w:val="18"/>
          <w:color w:val="auto"/>
        </w:rPr>
      </w:pPr>
    </w:p>
    <w:p>
      <w:pPr>
        <w:ind w:left="900" w:hanging="443"/>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ind w:left="900" w:hanging="44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discussion above with regard to “Net Loss and LAE”, as to catastrophe losses in the three months ended March 31, 2023 and 2022.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6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March 31,</w:t>
            </w:r>
          </w:p>
        </w:tc>
      </w:tr>
      <w:tr>
        <w:trPr>
          <w:trHeight w:val="209"/>
        </w:trPr>
        <w:tc>
          <w:tcPr>
            <w:tcW w:w="46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r>
      <w:tr>
        <w:trPr>
          <w:trHeight w:val="426"/>
        </w:trPr>
        <w:tc>
          <w:tcPr>
            <w:tcW w:w="4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4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28,254,953</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26,673,380</w:t>
            </w:r>
          </w:p>
        </w:tc>
        <w:tc>
          <w:tcPr>
            <w:tcW w:w="1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5,445,407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4,681,396</w:t>
            </w:r>
          </w:p>
        </w:tc>
        <w:tc>
          <w:tcPr>
            <w:tcW w:w="14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1,541,492</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1,359,100</w:t>
            </w:r>
          </w:p>
        </w:tc>
        <w:tc>
          <w:tcPr>
            <w:tcW w:w="1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Net gains (losses) on investments</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1,184,248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(4,351,744)</w:t>
            </w:r>
          </w:p>
        </w:tc>
      </w:tr>
      <w:tr>
        <w:trPr>
          <w:trHeight w:val="216"/>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158,826</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228,507</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9"/>
        </w:trPr>
        <w:tc>
          <w:tcPr>
            <w:tcW w:w="468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3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36,584,926</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28,590,639</w:t>
            </w:r>
          </w:p>
        </w:tc>
        <w:tc>
          <w:tcPr>
            <w:tcW w:w="140" w:type="dxa"/>
            <w:vAlign w:val="bottom"/>
          </w:tcPr>
          <w:p>
            <w:pPr>
              <w:spacing w:after="0"/>
              <w:rPr>
                <w:sz w:val="18"/>
                <w:szCs w:val="18"/>
                <w:color w:val="auto"/>
              </w:rPr>
            </w:pPr>
          </w:p>
        </w:tc>
      </w:tr>
      <w:tr>
        <w:trPr>
          <w:trHeight w:val="209"/>
        </w:trPr>
        <w:tc>
          <w:tcPr>
            <w:tcW w:w="46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b w:val="1"/>
                <w:bCs w:val="1"/>
                <w:color w:val="auto"/>
              </w:rPr>
              <w:t>Expenses</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25,039,410</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22,941,198</w:t>
            </w:r>
          </w:p>
        </w:tc>
        <w:tc>
          <w:tcPr>
            <w:tcW w:w="1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8,539,762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8,351,086</w:t>
            </w:r>
          </w:p>
        </w:tc>
        <w:tc>
          <w:tcPr>
            <w:tcW w:w="14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6,871,619</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6,815,949</w:t>
            </w:r>
          </w:p>
        </w:tc>
        <w:tc>
          <w:tcPr>
            <w:tcW w:w="1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808,130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760,015</w:t>
            </w:r>
          </w:p>
        </w:tc>
        <w:tc>
          <w:tcPr>
            <w:tcW w:w="140" w:type="dxa"/>
            <w:vAlign w:val="bottom"/>
          </w:tcPr>
          <w:p>
            <w:pPr>
              <w:spacing w:after="0"/>
              <w:rPr>
                <w:sz w:val="18"/>
                <w:szCs w:val="18"/>
                <w:color w:val="auto"/>
              </w:rPr>
            </w:pPr>
          </w:p>
        </w:tc>
      </w:tr>
      <w:tr>
        <w:trPr>
          <w:trHeight w:val="216"/>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114,472</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9"/>
        </w:trPr>
        <w:tc>
          <w:tcPr>
            <w:tcW w:w="468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3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41,373,393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38,868,248</w:t>
            </w:r>
          </w:p>
        </w:tc>
        <w:tc>
          <w:tcPr>
            <w:tcW w:w="140" w:type="dxa"/>
            <w:vAlign w:val="bottom"/>
          </w:tcPr>
          <w:p>
            <w:pPr>
              <w:spacing w:after="0"/>
              <w:rPr>
                <w:sz w:val="18"/>
                <w:szCs w:val="18"/>
                <w:color w:val="auto"/>
              </w:rPr>
            </w:pPr>
          </w:p>
        </w:tc>
      </w:tr>
      <w:tr>
        <w:trPr>
          <w:trHeight w:val="209"/>
        </w:trPr>
        <w:tc>
          <w:tcPr>
            <w:tcW w:w="46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(4,788,467)</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(10,277,609)</w:t>
            </w: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(938,223)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(2,187,260)</w:t>
            </w:r>
          </w:p>
        </w:tc>
      </w:tr>
      <w:tr>
        <w:trPr>
          <w:trHeight w:val="20"/>
        </w:trPr>
        <w:tc>
          <w:tcPr>
            <w:tcW w:w="468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7"/>
        </w:trPr>
        <w:tc>
          <w:tcPr>
            <w:tcW w:w="46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9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(3,850,244)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(8,090,349)</w:t>
            </w:r>
          </w:p>
        </w:tc>
      </w:tr>
      <w:tr>
        <w:trPr>
          <w:trHeight w:val="216"/>
        </w:trPr>
        <w:tc>
          <w:tcPr>
            <w:tcW w:w="46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Measures:</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Net loss ratio</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86.0%</w:t>
            </w: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468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7"/>
        </w:trPr>
        <w:tc>
          <w:tcPr>
            <w:tcW w:w="4680" w:type="dxa"/>
            <w:vAlign w:val="bottom"/>
          </w:tcPr>
          <w:p>
            <w:pPr>
              <w:ind w:left="220"/>
              <w:spacing w:after="0"/>
              <w:rPr>
                <w:sz w:val="20"/>
                <w:szCs w:val="20"/>
                <w:color w:val="auto"/>
              </w:rPr>
            </w:pPr>
            <w:r>
              <w:rPr>
                <w:rFonts w:ascii="Arial" w:cs="Arial" w:eastAsia="Arial" w:hAnsi="Arial"/>
                <w:sz w:val="18"/>
                <w:szCs w:val="18"/>
                <w:color w:val="auto"/>
              </w:rPr>
              <w:t>Net combined ratio</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124.5%</w:t>
            </w:r>
          </w:p>
        </w:tc>
      </w:tr>
      <w:tr>
        <w:trPr>
          <w:trHeight w:val="216"/>
        </w:trPr>
        <w:tc>
          <w:tcPr>
            <w:tcW w:w="46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costs and other underwriting expenses</w:t>
            </w:r>
          </w:p>
        </w:tc>
        <w:tc>
          <w:tcPr>
            <w:tcW w:w="4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15,411,381</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15,167,035</w:t>
            </w:r>
          </w:p>
        </w:tc>
        <w:tc>
          <w:tcPr>
            <w:tcW w:w="1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Less: Ceding commission revenue</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(5,445,407)</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(4,681,396)</w:t>
            </w: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Other income</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(158,826)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(228,507)</w:t>
            </w:r>
          </w:p>
        </w:tc>
      </w:tr>
      <w:tr>
        <w:trPr>
          <w:trHeight w:val="20"/>
        </w:trPr>
        <w:tc>
          <w:tcPr>
            <w:tcW w:w="468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7"/>
        </w:trPr>
        <w:tc>
          <w:tcPr>
            <w:tcW w:w="4680" w:type="dxa"/>
            <w:vAlign w:val="bottom"/>
          </w:tcPr>
          <w:p>
            <w:pPr>
              <w:ind w:left="220"/>
              <w:spacing w:after="0"/>
              <w:rPr>
                <w:sz w:val="20"/>
                <w:szCs w:val="20"/>
                <w:color w:val="auto"/>
              </w:rPr>
            </w:pPr>
            <w:r>
              <w:rPr>
                <w:rFonts w:ascii="Arial" w:cs="Arial" w:eastAsia="Arial" w:hAnsi="Arial"/>
                <w:sz w:val="18"/>
                <w:szCs w:val="18"/>
                <w:color w:val="auto"/>
              </w:rPr>
              <w:t>Net underwriting expenses</w:t>
            </w:r>
          </w:p>
        </w:tc>
        <w:tc>
          <w:tcPr>
            <w:tcW w:w="39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9,807,148</w:t>
            </w:r>
          </w:p>
        </w:tc>
        <w:tc>
          <w:tcPr>
            <w:tcW w:w="2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10,257,132</w:t>
            </w:r>
          </w:p>
        </w:tc>
        <w:tc>
          <w:tcPr>
            <w:tcW w:w="1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468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39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28,254,953</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26,673,380</w:t>
            </w:r>
          </w:p>
        </w:tc>
        <w:tc>
          <w:tcPr>
            <w:tcW w:w="14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468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38.5%</w:t>
            </w:r>
          </w:p>
        </w:tc>
      </w:tr>
      <w:tr>
        <w:trPr>
          <w:trHeight w:val="648"/>
        </w:trPr>
        <w:tc>
          <w:tcPr>
            <w:tcW w:w="46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right"/>
              <w:ind w:right="2770"/>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200" w:type="dxa"/>
            <w:vAlign w:val="bottom"/>
            <w:gridSpan w:val="12"/>
          </w:tcPr>
          <w:p>
            <w:pPr>
              <w:ind w:left="720"/>
              <w:spacing w:after="0"/>
              <w:rPr>
                <w:sz w:val="20"/>
                <w:szCs w:val="20"/>
                <w:color w:val="auto"/>
              </w:rPr>
            </w:pPr>
            <w:r>
              <w:rPr>
                <w:rFonts w:ascii="Arial" w:cs="Arial" w:eastAsia="Arial" w:hAnsi="Arial"/>
                <w:sz w:val="18"/>
                <w:szCs w:val="18"/>
                <w:color w:val="auto"/>
                <w:w w:val="89"/>
              </w:rPr>
              <w:t>An analysis of our direct, assumed and ceded earned premiums, loss and loss adjustment expenses, and loss ratios is shown below:</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March 31, 2023</w:t>
            </w:r>
          </w:p>
        </w:tc>
        <w:tc>
          <w:tcPr>
            <w:tcW w:w="200" w:type="dxa"/>
            <w:vAlign w:val="bottom"/>
          </w:tcPr>
          <w:p>
            <w:pPr>
              <w:spacing w:after="0"/>
              <w:rPr>
                <w:sz w:val="24"/>
                <w:szCs w:val="24"/>
                <w:color w:val="auto"/>
              </w:rPr>
            </w:pPr>
          </w:p>
        </w:tc>
        <w:tc>
          <w:tcPr>
            <w:tcW w:w="11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Direct</w:t>
            </w:r>
          </w:p>
        </w:tc>
        <w:tc>
          <w:tcPr>
            <w:tcW w:w="160" w:type="dxa"/>
            <w:vAlign w:val="bottom"/>
          </w:tcPr>
          <w:p>
            <w:pPr>
              <w:spacing w:after="0"/>
              <w:rPr>
                <w:sz w:val="24"/>
                <w:szCs w:val="24"/>
                <w:color w:val="auto"/>
              </w:rPr>
            </w:pPr>
          </w:p>
        </w:tc>
        <w:tc>
          <w:tcPr>
            <w:tcW w:w="12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1"/>
              </w:rPr>
              <w:t>Assumed</w:t>
            </w:r>
          </w:p>
        </w:tc>
        <w:tc>
          <w:tcPr>
            <w:tcW w:w="180" w:type="dxa"/>
            <w:vAlign w:val="bottom"/>
          </w:tcPr>
          <w:p>
            <w:pPr>
              <w:spacing w:after="0"/>
              <w:rPr>
                <w:sz w:val="24"/>
                <w:szCs w:val="24"/>
                <w:color w:val="auto"/>
              </w:rPr>
            </w:pPr>
          </w:p>
        </w:tc>
        <w:tc>
          <w:tcPr>
            <w:tcW w:w="12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Ceded</w:t>
            </w:r>
          </w:p>
        </w:tc>
        <w:tc>
          <w:tcPr>
            <w:tcW w:w="220" w:type="dxa"/>
            <w:vAlign w:val="bottom"/>
          </w:tcPr>
          <w:p>
            <w:pPr>
              <w:spacing w:after="0"/>
              <w:rPr>
                <w:sz w:val="24"/>
                <w:szCs w:val="24"/>
                <w:color w:val="auto"/>
              </w:rPr>
            </w:pPr>
          </w:p>
        </w:tc>
        <w:tc>
          <w:tcPr>
            <w:tcW w:w="10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47,597,446</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5"/>
              </w:rPr>
              <w:t>(23,628,699)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23,968,747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2,332,884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1,953,322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4,286,206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49,930,330</w:t>
            </w:r>
          </w:p>
        </w:tc>
        <w:tc>
          <w:tcPr>
            <w:tcW w:w="260" w:type="dxa"/>
            <w:vAlign w:val="bottom"/>
            <w:tcBorders>
              <w:left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(21,675,377</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28,254,953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31,910,005</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5"/>
              </w:rPr>
              <w:t>(10,613,543)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21,296,462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5,385,831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(1,642,883)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3,742,948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37,295,836</w:t>
            </w:r>
          </w:p>
        </w:tc>
        <w:tc>
          <w:tcPr>
            <w:tcW w:w="260" w:type="dxa"/>
            <w:vAlign w:val="bottom"/>
            <w:tcBorders>
              <w:left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(12,256,426</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25,039,410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60" w:type="dxa"/>
            <w:vAlign w:val="bottom"/>
            <w:tcBorders>
              <w:lef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280" w:type="dxa"/>
            <w:vAlign w:val="bottom"/>
            <w:tcBorders>
              <w:top w:val="single" w:sz="8" w:color="CCEEFF"/>
            </w:tcBorders>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Written premiums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42,983,897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w w:val="95"/>
              </w:rPr>
              <w:t>(18,065,709)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24,918,188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2,392,727</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(637,535)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1,755,192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Earned premiums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45,376,624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w w:val="95"/>
              </w:rPr>
              <w:t>(18,703,244)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26,673,380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26,508,664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(6,586,890)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19,921,774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6,837,400</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(3,817,976)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33,346,064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w w:val="95"/>
              </w:rPr>
              <w:t>(10,404,866)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22,941,198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73.5%</w:t>
            </w:r>
          </w:p>
        </w:tc>
        <w:tc>
          <w:tcPr>
            <w:tcW w:w="16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7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53"/>
        </w:trPr>
        <w:tc>
          <w:tcPr>
            <w:tcW w:w="8580" w:type="dxa"/>
            <w:vAlign w:val="bottom"/>
            <w:gridSpan w:val="2"/>
          </w:tcPr>
          <w:p>
            <w:pPr>
              <w:ind w:left="66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28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28,254,953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26,673,380</w:t>
            </w:r>
          </w:p>
        </w:tc>
        <w:tc>
          <w:tcPr>
            <w:tcW w:w="14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Ceding commission revenue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5,445,407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4,681,396</w:t>
            </w:r>
          </w:p>
        </w:tc>
        <w:tc>
          <w:tcPr>
            <w:tcW w:w="14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158,826</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228,507</w:t>
            </w:r>
          </w:p>
        </w:tc>
        <w:tc>
          <w:tcPr>
            <w:tcW w:w="14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25,039,410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22,941,198</w:t>
            </w:r>
          </w:p>
        </w:tc>
        <w:tc>
          <w:tcPr>
            <w:tcW w:w="14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Commission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8,539,762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8,351,086</w:t>
            </w:r>
          </w:p>
        </w:tc>
        <w:tc>
          <w:tcPr>
            <w:tcW w:w="140" w:type="dxa"/>
            <w:vAlign w:val="bottom"/>
          </w:tcPr>
          <w:p>
            <w:pPr>
              <w:spacing w:after="0"/>
              <w:rPr>
                <w:sz w:val="18"/>
                <w:szCs w:val="18"/>
                <w:color w:val="auto"/>
              </w:rPr>
            </w:pPr>
          </w:p>
        </w:tc>
      </w:tr>
      <w:tr>
        <w:trPr>
          <w:trHeight w:val="216"/>
        </w:trPr>
        <w:tc>
          <w:tcPr>
            <w:tcW w:w="8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6,871,619</w:t>
            </w:r>
          </w:p>
        </w:tc>
        <w:tc>
          <w:tcPr>
            <w:tcW w:w="28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6,815,949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9"/>
        </w:trPr>
        <w:tc>
          <w:tcPr>
            <w:tcW w:w="8580" w:type="dxa"/>
            <w:vAlign w:val="bottom"/>
            <w:gridSpan w:val="2"/>
          </w:tcPr>
          <w:p>
            <w:pPr>
              <w:spacing w:after="0"/>
              <w:rPr>
                <w:sz w:val="20"/>
                <w:szCs w:val="20"/>
                <w:color w:val="auto"/>
              </w:rPr>
            </w:pPr>
            <w:r>
              <w:rPr>
                <w:rFonts w:ascii="Arial" w:cs="Arial" w:eastAsia="Arial" w:hAnsi="Arial"/>
                <w:sz w:val="18"/>
                <w:szCs w:val="18"/>
                <w:color w:val="auto"/>
              </w:rPr>
              <w:t>Total acquisition costs and other underwriting expenses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15,411,381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15,167,035</w:t>
            </w:r>
          </w:p>
        </w:tc>
        <w:tc>
          <w:tcPr>
            <w:tcW w:w="14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Underwriting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(6,591,605)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(6,524,950)</w:t>
            </w: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Key Measures: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 excluding the effect of catastrophes</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Effect of catastrophe loss on net loss ratio (1)</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09"/>
        </w:trPr>
        <w:tc>
          <w:tcPr>
            <w:tcW w:w="1280" w:type="dxa"/>
            <w:vAlign w:val="bottom"/>
            <w:tcBorders>
              <w:top w:val="single" w:sz="8" w:color="CCEEFF"/>
            </w:tcBorders>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 excluding the effect of catastrophes</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Effect of catastrophe loss on net underwriting expense ratio</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09"/>
        </w:trPr>
        <w:tc>
          <w:tcPr>
            <w:tcW w:w="1280" w:type="dxa"/>
            <w:vAlign w:val="bottom"/>
            <w:tcBorders>
              <w:top w:val="single" w:sz="8" w:color="CCEEFF"/>
            </w:tcBorders>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combined ratio excluding the effect of catastrophes</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Effect of catastrophe loss on net combined ratio (1)</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2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w:t>
            </w: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196"/>
        </w:trPr>
        <w:tc>
          <w:tcPr>
            <w:tcW w:w="1280" w:type="dxa"/>
            <w:vAlign w:val="bottom"/>
            <w:tcBorders>
              <w:top w:val="single" w:sz="8" w:color="CCEEFF"/>
            </w:tcBorders>
          </w:tcPr>
          <w:p>
            <w:pPr>
              <w:spacing w:after="0"/>
              <w:rPr>
                <w:sz w:val="17"/>
                <w:szCs w:val="17"/>
                <w:color w:val="auto"/>
              </w:rPr>
            </w:pPr>
          </w:p>
        </w:tc>
        <w:tc>
          <w:tcPr>
            <w:tcW w:w="73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15,411,381</w:t>
            </w:r>
          </w:p>
        </w:tc>
        <w:tc>
          <w:tcPr>
            <w:tcW w:w="28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15,167,035</w:t>
            </w:r>
          </w:p>
        </w:tc>
        <w:tc>
          <w:tcPr>
            <w:tcW w:w="14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Ceding commission revenue</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(5,445,407)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(4,681,396)</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Less: Other income</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(158,826)</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(228,507)</w:t>
            </w: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9,807,148</w:t>
            </w:r>
          </w:p>
        </w:tc>
        <w:tc>
          <w:tcPr>
            <w:tcW w:w="28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10,257,132</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earned premium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28,254,953</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26,673,380</w:t>
            </w:r>
          </w:p>
        </w:tc>
        <w:tc>
          <w:tcPr>
            <w:tcW w:w="140" w:type="dxa"/>
            <w:vAlign w:val="bottom"/>
            <w:shd w:val="clear" w:color="auto" w:fill="CCEEFF"/>
          </w:tcPr>
          <w:p>
            <w:pPr>
              <w:spacing w:after="0"/>
              <w:rPr>
                <w:sz w:val="22"/>
                <w:szCs w:val="22"/>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73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3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20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three months ended March 31, 2023 and 2022, includes the sum of net catastrophe losses and loss adjustment expenses of $3,742,948 and $3,019,424,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jc w:val="both"/>
        <w:ind w:firstLine="608"/>
        <w:spacing w:after="0" w:line="263" w:lineRule="auto"/>
        <w:rPr>
          <w:sz w:val="20"/>
          <w:szCs w:val="20"/>
          <w:color w:val="auto"/>
        </w:rPr>
      </w:pPr>
      <w:r>
        <w:rPr>
          <w:rFonts w:ascii="Arial" w:cs="Arial" w:eastAsia="Arial" w:hAnsi="Arial"/>
          <w:sz w:val="18"/>
          <w:szCs w:val="18"/>
          <w:color w:val="auto"/>
        </w:rPr>
        <w:t>The following table presents a breakdown of the amortized cost, estimated fair value, and gross unrealized gains and losses of our investments in fixed-maturity securities classified as available-for-sale for which an allowance for credit loss has not been recorded, as of March 31, 2023 and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8"/>
                <w:szCs w:val="18"/>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6"/>
              </w:rPr>
              <w:t>Gross Unrealized Losses</w:t>
            </w: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Estimated</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More than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Amortized</w:t>
            </w:r>
          </w:p>
        </w:tc>
        <w:tc>
          <w:tcPr>
            <w:tcW w:w="1280" w:type="dxa"/>
            <w:vAlign w:val="bottom"/>
            <w:gridSpan w:val="4"/>
          </w:tcPr>
          <w:p>
            <w:pPr>
              <w:ind w:left="220"/>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Less than 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21,988,099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22,023,463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17,098,969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(3,338,913)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13,754,903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3"/>
              </w:rPr>
              <w:t>Corporate and other bonds Industrial and 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80,264,856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(777,717)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(6,479,111)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73,008,028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Residential mortgage and other asset backed securities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53,022,594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67,556</w:t>
            </w:r>
          </w:p>
        </w:tc>
        <w:tc>
          <w:tcPr>
            <w:tcW w:w="2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(496,219)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(6,739,006)</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w w:val="97"/>
              </w:rPr>
              <w:t>45,854,925</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 fixed-maturity securities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172,374,518</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103,594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(1,279,763)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(16,557,030)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154,641,319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8"/>
                <w:szCs w:val="18"/>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6"/>
              </w:rPr>
              <w:t>Gross Unrealized Losses</w:t>
            </w: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Estimated</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More than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Amortized</w:t>
            </w:r>
          </w:p>
        </w:tc>
        <w:tc>
          <w:tcPr>
            <w:tcW w:w="1280" w:type="dxa"/>
            <w:vAlign w:val="bottom"/>
            <w:gridSpan w:val="4"/>
          </w:tcPr>
          <w:p>
            <w:pPr>
              <w:ind w:left="220"/>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Less than 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23,874,545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23,869,096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17,108,154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(2,195,273)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(1,771,494)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13,141,387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3"/>
              </w:rPr>
              <w:t>Corporate and other bonds Industrial and 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80,338,464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(5,796,994)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(2,458,985)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72,082,485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Residential mortgage and other asset backed securities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53,597,264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58,398</w:t>
            </w:r>
          </w:p>
        </w:tc>
        <w:tc>
          <w:tcPr>
            <w:tcW w:w="2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(882,664)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(7,150,803)</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w w:val="97"/>
              </w:rPr>
              <w:t>45,622,195</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 fixed-maturity securities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174,918,427</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59,877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(8,881,859)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(11,381,282)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154,715,163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00" w:hanging="443"/>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October 2022, KICO placed certain U.S. Treasury securities to fulfill the required collateral for a sale leaseback transaction in a designated custodian account (see Note 7 – Debt - “Equipment Financing”). As of March 31, 2023 and December 31, 2022, the amount of required collateral was approximately $8,268,000 and $8,691,000, respectively. As of March 31, 2023 and December 31, 2022, the estimated fair value of the eligible collateral was approximately $11,475,000 and $8,691,000, respectively.</w:t>
      </w:r>
    </w:p>
    <w:p>
      <w:pPr>
        <w:spacing w:after="0" w:line="186" w:lineRule="exact"/>
        <w:rPr>
          <w:rFonts w:ascii="Arial" w:cs="Arial" w:eastAsia="Arial" w:hAnsi="Arial"/>
          <w:sz w:val="18"/>
          <w:szCs w:val="18"/>
          <w:color w:val="auto"/>
        </w:rPr>
      </w:pPr>
    </w:p>
    <w:p>
      <w:pPr>
        <w:jc w:val="both"/>
        <w:ind w:left="900" w:hanging="443"/>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March 31, 2023 and December 31, 2022, the estimated fair value of the eligible investments was approximately $12,199,000 and $12,228,000, respectively. KICO will retain all rights regarding all securities if pledged as collateral. As of March 31, 2023 and December 31, 2022 there was no outstanding balance on the FHLBNY credit line.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breakdown of the cost and estimated fair value of, and gross gains and losses on, investments in equity securities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March 31,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1"/>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13,583,942</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(2,906,623)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10,677,319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Common stocks and exchange traded funds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4,427,204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199,258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(681,232)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3,945,230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45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18,011,146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2"/>
              </w:rPr>
              <w:t>199,258</w:t>
            </w:r>
          </w:p>
        </w:tc>
        <w:tc>
          <w:tcPr>
            <w:tcW w:w="24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(3,587,855)</w:t>
            </w: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14,622,549</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1"/>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r>
      <w:tr>
        <w:trPr>
          <w:trHeight w:val="425"/>
        </w:trPr>
        <w:tc>
          <w:tcPr>
            <w:tcW w:w="45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13,583,942</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(3,589,313)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9,994,629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Common stocks and exchange traded funds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4,502,758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158,635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(821,632)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3,839,761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45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9"/>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18,086,700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2"/>
              </w:rPr>
              <w:t>158,635</w:t>
            </w:r>
          </w:p>
        </w:tc>
        <w:tc>
          <w:tcPr>
            <w:tcW w:w="24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(4,410,945)</w:t>
            </w: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13,834,390</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on our other investments as of March 31,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March 31, 2023</w:t>
            </w: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100" w:type="dxa"/>
            <w:vAlign w:val="bottom"/>
          </w:tcPr>
          <w:p>
            <w:pPr>
              <w:spacing w:after="0"/>
              <w:rPr>
                <w:sz w:val="20"/>
                <w:szCs w:val="20"/>
                <w:color w:val="auto"/>
              </w:rPr>
            </w:pPr>
          </w:p>
        </w:tc>
      </w:tr>
      <w:tr>
        <w:trPr>
          <w:trHeight w:val="191"/>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425"/>
        </w:trPr>
        <w:tc>
          <w:tcPr>
            <w:tcW w:w="506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fund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$ 1,987,040</w:t>
            </w:r>
          </w:p>
        </w:tc>
        <w:tc>
          <w:tcPr>
            <w:tcW w:w="1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$ 1,148,409</w:t>
            </w:r>
          </w:p>
        </w:tc>
        <w:tc>
          <w:tcPr>
            <w:tcW w:w="9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6"/>
              </w:rPr>
              <w:t>$ 3,135,449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$ 1,987,040</w:t>
            </w: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784,612</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6"/>
              </w:rPr>
              <w:t>$ 2,771,652</w:t>
            </w:r>
          </w:p>
        </w:tc>
        <w:tc>
          <w:tcPr>
            <w:tcW w:w="100" w:type="dxa"/>
            <w:vAlign w:val="bottom"/>
            <w:shd w:val="clear" w:color="auto" w:fill="CCEEFF"/>
          </w:tcPr>
          <w:p>
            <w:pPr>
              <w:spacing w:after="0"/>
              <w:rPr>
                <w:sz w:val="22"/>
                <w:szCs w:val="22"/>
                <w:color w:val="auto"/>
              </w:rPr>
            </w:pPr>
          </w:p>
        </w:tc>
      </w:tr>
      <w:tr>
        <w:trPr>
          <w:trHeight w:val="628"/>
        </w:trPr>
        <w:tc>
          <w:tcPr>
            <w:tcW w:w="49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and estimated fair value of, and gross unrealized gains and losses on, investments in held-to-maturity securities as of March 31,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b w:val="1"/>
                <w:bCs w:val="1"/>
                <w:color w:val="auto"/>
              </w:rPr>
              <w:t>March 31, 2023</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8"/>
                <w:szCs w:val="18"/>
                <w:color w:val="auto"/>
              </w:rPr>
            </w:pPr>
          </w:p>
        </w:tc>
        <w:tc>
          <w:tcPr>
            <w:tcW w:w="23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88"/>
              </w:rPr>
              <w:t>Gross Unrealized Losses</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Estimated</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8"/>
                <w:szCs w:val="18"/>
                <w:color w:val="auto"/>
              </w:rPr>
            </w:pPr>
          </w:p>
        </w:tc>
      </w:tr>
      <w:tr>
        <w:trPr>
          <w:trHeight w:val="191"/>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More than</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Less than 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12</w:t>
            </w:r>
          </w:p>
        </w:tc>
        <w:tc>
          <w:tcPr>
            <w:tcW w:w="2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Months</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r>
      <w:tr>
        <w:trPr>
          <w:trHeight w:val="426"/>
        </w:trPr>
        <w:tc>
          <w:tcPr>
            <w:tcW w:w="4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Held-to-Maturity Securities: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304,111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(56,461)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   247,650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54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5"/>
              </w:rPr>
              <w:t>Political subdivisions of States, Territories and Possessions</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1,228,634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1,252,412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454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498,769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500,430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54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(890,603)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4,825,117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09"/>
        </w:trPr>
        <w:tc>
          <w:tcPr>
            <w:tcW w:w="4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$ 7,765,096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(138,479)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(890,603)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$ 6,825,609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8"/>
                <w:szCs w:val="18"/>
                <w:b w:val="1"/>
                <w:bCs w:val="1"/>
                <w:color w:val="auto"/>
              </w:rPr>
              <w:t>December 31, 2022</w:t>
            </w: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8"/>
                <w:szCs w:val="18"/>
                <w:color w:val="auto"/>
              </w:rPr>
            </w:pPr>
          </w:p>
        </w:tc>
        <w:tc>
          <w:tcPr>
            <w:tcW w:w="23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88"/>
              </w:rPr>
              <w:t>Gross Unrealized Losses</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Estimated</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8"/>
                <w:szCs w:val="18"/>
                <w:color w:val="auto"/>
              </w:rPr>
            </w:pPr>
          </w:p>
        </w:tc>
      </w:tr>
      <w:tr>
        <w:trPr>
          <w:trHeight w:val="191"/>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More than</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Less than 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12</w:t>
            </w:r>
          </w:p>
        </w:tc>
        <w:tc>
          <w:tcPr>
            <w:tcW w:w="2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Months</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r>
      <w:tr>
        <w:trPr>
          <w:trHeight w:val="425"/>
        </w:trPr>
        <w:tc>
          <w:tcPr>
            <w:tcW w:w="4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Held-to-Maturity Securities: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$ 1,228,560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(34,077)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$ 1,222,883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454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4"/>
              </w:rPr>
              <w:t>Political subdivisions of States,  Territories and Possessions</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498,638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500,730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54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304,111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54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5,734,831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(809,746)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(360,278)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4,601,775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09"/>
        </w:trPr>
        <w:tc>
          <w:tcPr>
            <w:tcW w:w="4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$ 7,766,140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(872,934)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(360,278)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$ 6,600,388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fair value of our investments in held-to-maturity securities by contractual maturity as of March 31,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ind w:left="52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r>
      <w:tr>
        <w:trPr>
          <w:trHeight w:val="191"/>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5"/>
              </w:rPr>
              <w:t>Amortized</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3"/>
              </w:rPr>
              <w:t>Amortized</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Remaining Time to Maturity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09"/>
        </w:trPr>
        <w:tc>
          <w:tcPr>
            <w:tcW w:w="5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747,483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743,575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1,120,700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1,098,253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1,120,507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1,088,522</w:t>
            </w: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1,200,720</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4,529,972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3,763,928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4,534,394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3,567,571</w:t>
            </w:r>
          </w:p>
        </w:tc>
        <w:tc>
          <w:tcPr>
            <w:tcW w:w="100" w:type="dxa"/>
            <w:vAlign w:val="bottom"/>
          </w:tcPr>
          <w:p>
            <w:pPr>
              <w:spacing w:after="0"/>
              <w:rPr>
                <w:sz w:val="18"/>
                <w:szCs w:val="18"/>
                <w:color w:val="auto"/>
              </w:rPr>
            </w:pPr>
          </w:p>
        </w:tc>
      </w:tr>
      <w:tr>
        <w:trPr>
          <w:trHeight w:val="249"/>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7,765,096</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7,766,140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6,600,388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jc w:val="both"/>
        <w:ind w:firstLine="608"/>
        <w:spacing w:after="0" w:line="277"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March 31, 2023 and December 31, 2022 as rated by Standard &amp; Poor’s (or, if unavailable from Standard &amp; Poor’s, then Moody’s, Fitch, or Kroll):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March 31, 2023</w:t>
            </w:r>
          </w:p>
        </w:tc>
        <w:tc>
          <w:tcPr>
            <w:tcW w:w="140" w:type="dxa"/>
            <w:vAlign w:val="bottom"/>
          </w:tcPr>
          <w:p>
            <w:pPr>
              <w:spacing w:after="0"/>
              <w:rPr>
                <w:sz w:val="20"/>
                <w:szCs w:val="20"/>
                <w:color w:val="auto"/>
              </w:rPr>
            </w:pPr>
          </w:p>
        </w:tc>
        <w:tc>
          <w:tcPr>
            <w:tcW w:w="24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91"/>
        </w:trPr>
        <w:tc>
          <w:tcPr>
            <w:tcW w:w="5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426"/>
        </w:trPr>
        <w:tc>
          <w:tcPr>
            <w:tcW w:w="5880" w:type="dxa"/>
            <w:vAlign w:val="bottom"/>
          </w:tcPr>
          <w:p>
            <w:pPr>
              <w:spacing w:after="0"/>
              <w:rPr>
                <w:sz w:val="20"/>
                <w:szCs w:val="20"/>
                <w:color w:val="auto"/>
              </w:rPr>
            </w:pPr>
            <w:r>
              <w:rPr>
                <w:rFonts w:ascii="Arial" w:cs="Arial" w:eastAsia="Arial" w:hAnsi="Arial"/>
                <w:sz w:val="18"/>
                <w:szCs w:val="18"/>
                <w:color w:val="auto"/>
              </w:rPr>
              <w:t>Rating</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22,023,463</w:t>
            </w:r>
          </w:p>
        </w:tc>
        <w:tc>
          <w:tcPr>
            <w:tcW w:w="1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23,869,096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AAA</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3,459,148</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1,824,478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8,645,706</w:t>
            </w:r>
          </w:p>
        </w:tc>
        <w:tc>
          <w:tcPr>
            <w:tcW w:w="1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9,785,908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31,859,418</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31,099,075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16,818,834</w:t>
            </w:r>
          </w:p>
        </w:tc>
        <w:tc>
          <w:tcPr>
            <w:tcW w:w="1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16,682,159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BBB</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20,709,839</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19,664,051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3,612,910</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4,516,713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tcPr>
          <w:p>
            <w:pPr>
              <w:ind w:left="420"/>
              <w:spacing w:after="0"/>
              <w:rPr>
                <w:sz w:val="20"/>
                <w:szCs w:val="20"/>
                <w:color w:val="auto"/>
              </w:rPr>
            </w:pPr>
            <w:r>
              <w:rPr>
                <w:rFonts w:ascii="Arial" w:cs="Arial" w:eastAsia="Arial" w:hAnsi="Arial"/>
                <w:sz w:val="18"/>
                <w:szCs w:val="18"/>
                <w:color w:val="auto"/>
              </w:rPr>
              <w:t>Total corporate and municipal bonds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85,105,855</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83,572,384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w w:val="92"/>
              </w:rPr>
              <w:t>Residential mortgage backed, asset backed, and other collateralized obligations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AAA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36,783,170</w:t>
            </w:r>
          </w:p>
        </w:tc>
        <w:tc>
          <w:tcPr>
            <w:tcW w:w="1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16,497,621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AA</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2,926,345</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23,062,233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6,862,045</w:t>
            </w:r>
          </w:p>
        </w:tc>
        <w:tc>
          <w:tcPr>
            <w:tcW w:w="1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6,722,902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BBB</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17,867</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20,067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CCC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453,796</w:t>
            </w:r>
          </w:p>
        </w:tc>
        <w:tc>
          <w:tcPr>
            <w:tcW w:w="1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457,683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CC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97,266</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99,600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40,474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Non rated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371,512</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373,103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80" w:type="dxa"/>
            <w:vAlign w:val="bottom"/>
            <w:shd w:val="clear" w:color="auto" w:fill="CCEEFF"/>
          </w:tcPr>
          <w:p>
            <w:pPr>
              <w:ind w:left="420"/>
              <w:spacing w:after="0" w:line="195" w:lineRule="exact"/>
              <w:rPr>
                <w:sz w:val="20"/>
                <w:szCs w:val="20"/>
                <w:color w:val="auto"/>
              </w:rPr>
            </w:pPr>
            <w:r>
              <w:rPr>
                <w:rFonts w:ascii="Arial" w:cs="Arial" w:eastAsia="Arial" w:hAnsi="Arial"/>
                <w:sz w:val="18"/>
                <w:szCs w:val="18"/>
                <w:color w:val="auto"/>
                <w:w w:val="93"/>
              </w:rPr>
              <w:t>Total residential mortgage backed, asset backed, and other collateralized</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47,512,001</w:t>
            </w:r>
          </w:p>
        </w:tc>
        <w:tc>
          <w:tcPr>
            <w:tcW w:w="220" w:type="dxa"/>
            <w:vAlign w:val="bottom"/>
            <w:vMerge w:val="restart"/>
            <w:shd w:val="clear" w:color="auto" w:fill="CCEEFF"/>
          </w:tcPr>
          <w:p>
            <w:pPr>
              <w:spacing w:after="0"/>
              <w:rPr>
                <w:sz w:val="16"/>
                <w:szCs w:val="16"/>
                <w:color w:val="auto"/>
              </w:rPr>
            </w:pPr>
          </w:p>
        </w:tc>
        <w:tc>
          <w:tcPr>
            <w:tcW w:w="13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47,273,683</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8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154,641,319</w:t>
            </w:r>
          </w:p>
        </w:tc>
        <w:tc>
          <w:tcPr>
            <w:tcW w:w="1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154,715,163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29"/>
        </w:trPr>
        <w:tc>
          <w:tcPr>
            <w:tcW w:w="5880" w:type="dxa"/>
            <w:vAlign w:val="bottom"/>
            <w:tcBorders>
              <w:top w:val="single" w:sz="8" w:color="CCEEFF"/>
              <w:bottom w:val="single" w:sz="8" w:color="auto"/>
            </w:tcBorders>
          </w:tcPr>
          <w:p>
            <w:pPr>
              <w:ind w:left="5540"/>
              <w:spacing w:after="0"/>
              <w:rPr>
                <w:sz w:val="20"/>
                <w:szCs w:val="20"/>
                <w:color w:val="auto"/>
              </w:rPr>
            </w:pPr>
            <w:r>
              <w:rPr>
                <w:rFonts w:ascii="Arial" w:cs="Arial" w:eastAsia="Arial" w:hAnsi="Arial"/>
                <w:sz w:val="18"/>
                <w:szCs w:val="18"/>
                <w:color w:val="auto"/>
              </w:rPr>
              <w:t>61</w:t>
            </w: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average yield by type of fixed-maturity security as of March 31,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March 31, 2023</w:t>
            </w:r>
          </w:p>
        </w:tc>
        <w:tc>
          <w:tcPr>
            <w:tcW w:w="260" w:type="dxa"/>
            <w:vAlign w:val="bottom"/>
          </w:tcPr>
          <w:p>
            <w:pPr>
              <w:spacing w:after="0"/>
              <w:rPr>
                <w:sz w:val="20"/>
                <w:szCs w:val="20"/>
                <w:color w:val="auto"/>
              </w:rPr>
            </w:pPr>
          </w:p>
        </w:tc>
        <w:tc>
          <w:tcPr>
            <w:tcW w:w="15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December 31, 2022</w:t>
            </w:r>
          </w:p>
        </w:tc>
        <w:tc>
          <w:tcPr>
            <w:tcW w:w="140" w:type="dxa"/>
            <w:vAlign w:val="bottom"/>
          </w:tcPr>
          <w:p>
            <w:pPr>
              <w:spacing w:after="0"/>
              <w:rPr>
                <w:sz w:val="20"/>
                <w:szCs w:val="20"/>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corporations and agencies</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7560" w:type="dxa"/>
            <w:vAlign w:val="bottom"/>
          </w:tcPr>
          <w:p>
            <w:pPr>
              <w:spacing w:after="0"/>
              <w:rPr>
                <w:sz w:val="18"/>
                <w:szCs w:val="18"/>
                <w:color w:val="auto"/>
              </w:rPr>
            </w:pPr>
          </w:p>
        </w:tc>
        <w:tc>
          <w:tcPr>
            <w:tcW w:w="1960" w:type="dxa"/>
            <w:vAlign w:val="bottom"/>
            <w:gridSpan w:val="3"/>
          </w:tcPr>
          <w:p>
            <w:pPr>
              <w:spacing w:after="0"/>
              <w:rPr>
                <w:sz w:val="18"/>
                <w:szCs w:val="18"/>
                <w:color w:val="auto"/>
              </w:rPr>
            </w:pPr>
          </w:p>
        </w:tc>
        <w:tc>
          <w:tcPr>
            <w:tcW w:w="1720" w:type="dxa"/>
            <w:vAlign w:val="bottom"/>
            <w:gridSpan w:val="2"/>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7560" w:type="dxa"/>
            <w:vAlign w:val="bottom"/>
          </w:tcPr>
          <w:p>
            <w:pPr>
              <w:spacing w:after="0"/>
              <w:rPr>
                <w:sz w:val="18"/>
                <w:szCs w:val="18"/>
                <w:color w:val="auto"/>
              </w:rPr>
            </w:pPr>
          </w:p>
        </w:tc>
        <w:tc>
          <w:tcPr>
            <w:tcW w:w="1960" w:type="dxa"/>
            <w:vAlign w:val="bottom"/>
            <w:gridSpan w:val="3"/>
          </w:tcPr>
          <w:p>
            <w:pPr>
              <w:spacing w:after="0"/>
              <w:rPr>
                <w:sz w:val="18"/>
                <w:szCs w:val="18"/>
                <w:color w:val="auto"/>
              </w:rPr>
            </w:pPr>
          </w:p>
        </w:tc>
        <w:tc>
          <w:tcPr>
            <w:tcW w:w="1720" w:type="dxa"/>
            <w:vAlign w:val="bottom"/>
            <w:gridSpan w:val="2"/>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7560" w:type="dxa"/>
            <w:vAlign w:val="bottom"/>
          </w:tcPr>
          <w:p>
            <w:pPr>
              <w:spacing w:after="0"/>
              <w:rPr>
                <w:sz w:val="18"/>
                <w:szCs w:val="18"/>
                <w:color w:val="auto"/>
              </w:rPr>
            </w:pPr>
          </w:p>
        </w:tc>
        <w:tc>
          <w:tcPr>
            <w:tcW w:w="1960" w:type="dxa"/>
            <w:vAlign w:val="bottom"/>
            <w:gridSpan w:val="3"/>
          </w:tcPr>
          <w:p>
            <w:pPr>
              <w:spacing w:after="0"/>
              <w:rPr>
                <w:sz w:val="18"/>
                <w:szCs w:val="18"/>
                <w:color w:val="auto"/>
              </w:rPr>
            </w:pPr>
          </w:p>
        </w:tc>
        <w:tc>
          <w:tcPr>
            <w:tcW w:w="1720" w:type="dxa"/>
            <w:vAlign w:val="bottom"/>
            <w:gridSpan w:val="2"/>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7560" w:type="dxa"/>
            <w:vAlign w:val="bottom"/>
          </w:tcPr>
          <w:p>
            <w:pPr>
              <w:spacing w:after="0"/>
              <w:rPr>
                <w:sz w:val="18"/>
                <w:szCs w:val="18"/>
                <w:color w:val="auto"/>
              </w:rPr>
            </w:pPr>
          </w:p>
        </w:tc>
        <w:tc>
          <w:tcPr>
            <w:tcW w:w="1960" w:type="dxa"/>
            <w:vAlign w:val="bottom"/>
            <w:gridSpan w:val="3"/>
          </w:tcPr>
          <w:p>
            <w:pPr>
              <w:spacing w:after="0"/>
              <w:rPr>
                <w:sz w:val="18"/>
                <w:szCs w:val="18"/>
                <w:color w:val="auto"/>
              </w:rPr>
            </w:pPr>
          </w:p>
        </w:tc>
        <w:tc>
          <w:tcPr>
            <w:tcW w:w="1720" w:type="dxa"/>
            <w:vAlign w:val="bottom"/>
            <w:gridSpan w:val="2"/>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lists the weighted average maturity and effective duration in years on our fixed-maturity securities as of March 31,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March 31, 2023</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December 31, 2022</w:t>
            </w:r>
          </w:p>
        </w:tc>
        <w:tc>
          <w:tcPr>
            <w:tcW w:w="100" w:type="dxa"/>
            <w:vAlign w:val="bottom"/>
          </w:tcPr>
          <w:p>
            <w:pPr>
              <w:spacing w:after="0"/>
              <w:rPr>
                <w:sz w:val="20"/>
                <w:szCs w:val="20"/>
                <w:color w:val="auto"/>
              </w:rPr>
            </w:pPr>
          </w:p>
        </w:tc>
      </w:tr>
      <w:tr>
        <w:trPr>
          <w:trHeight w:val="209"/>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2023 and December 31, 2022, 65% of the investment portfolio recorded at fair value was priced based upon quoted market prices.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firstLine="608"/>
        <w:spacing w:after="0" w:line="27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March 31,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rPr>
              <w:t>March 31, 2023</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Less than 12 months</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12 months or more</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9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Unrealized</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Unrealized</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Unrealized</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Losses</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Held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Losses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7"/>
              </w:rPr>
              <w:t>Held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Losses</w:t>
            </w:r>
          </w:p>
        </w:tc>
        <w:tc>
          <w:tcPr>
            <w:tcW w:w="0" w:type="dxa"/>
            <w:vAlign w:val="bottom"/>
          </w:tcPr>
          <w:p>
            <w:pPr>
              <w:spacing w:after="0"/>
              <w:rPr>
                <w:sz w:val="1"/>
                <w:szCs w:val="1"/>
                <w:color w:val="auto"/>
              </w:rPr>
            </w:pPr>
          </w:p>
        </w:tc>
      </w:tr>
      <w:tr>
        <w:trPr>
          <w:trHeight w:val="426"/>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U.S. Treasury securities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1"/>
              </w:rPr>
              <w:t>government corporations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5,542,768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5,542,768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549,276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13,205,628</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(3,338,913)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13,754,904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(3,344,066)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Corporate and other bonds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4"/>
              </w:rPr>
              <w:t>industrial and miscellaneous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24,592,198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(777,717)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48,415,831</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(6,479,111)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73,008,029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(7,256,828)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8,454,568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(496,219)</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36,667,595</w:t>
            </w:r>
          </w:p>
        </w:tc>
        <w:tc>
          <w:tcPr>
            <w:tcW w:w="14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(6,739,006)</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45,122,163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9"/>
              </w:rPr>
              <w:t>(7,235,225)</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asset 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2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fixed-maturity</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39,138,810</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1"/>
              </w:rPr>
              <w:t>(1,279,763)</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98,289,054</w:t>
            </w:r>
          </w:p>
        </w:tc>
        <w:tc>
          <w:tcPr>
            <w:tcW w:w="14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(16,557,030)</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7"/>
              </w:rPr>
              <w:t>137,427,864</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0"/>
              </w:rPr>
              <w:t>(17,836,793)</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securities</w:t>
            </w:r>
          </w:p>
        </w:tc>
        <w:tc>
          <w:tcPr>
            <w:tcW w:w="2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2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December 31, 2022</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Less than 12 months</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12 months or more</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Unrealized</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Held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80" w:type="dxa"/>
            <w:vAlign w:val="bottom"/>
            <w:gridSpan w:val="3"/>
          </w:tcPr>
          <w:p>
            <w:pPr>
              <w:spacing w:after="0"/>
              <w:rPr>
                <w:sz w:val="20"/>
                <w:szCs w:val="20"/>
                <w:color w:val="auto"/>
              </w:rPr>
            </w:pPr>
            <w:r>
              <w:rPr>
                <w:rFonts w:ascii="Arial" w:cs="Arial" w:eastAsia="Arial" w:hAnsi="Arial"/>
                <w:sz w:val="18"/>
                <w:szCs w:val="18"/>
                <w:color w:val="auto"/>
              </w:rPr>
              <w:t>Fixed-Maturity Securities: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U.S. Treasury securities and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U.S.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government corporations and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$ 18,918,196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18,918,196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Possessions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7,970,633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(2,195,273)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5,170,753</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(1,771,494)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13,141,386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(3,966,767)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industrial and miscellaneous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56,910,104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(5,796,994)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15,172,381</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(2,458,985)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72,082,485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(8,255,979)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10,145,880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(882,664)</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34,753,178</w:t>
            </w:r>
          </w:p>
        </w:tc>
        <w:tc>
          <w:tcPr>
            <w:tcW w:w="13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(7,150,803)</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44,899,058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9"/>
              </w:rPr>
              <w:t>(8,033,467)</w:t>
            </w:r>
          </w:p>
        </w:tc>
        <w:tc>
          <w:tcPr>
            <w:tcW w:w="0" w:type="dxa"/>
            <w:vAlign w:val="bottom"/>
          </w:tcPr>
          <w:p>
            <w:pPr>
              <w:spacing w:after="0"/>
              <w:rPr>
                <w:sz w:val="1"/>
                <w:szCs w:val="1"/>
                <w:color w:val="auto"/>
              </w:rPr>
            </w:pPr>
          </w:p>
        </w:tc>
      </w:tr>
      <w:tr>
        <w:trPr>
          <w:trHeight w:val="217"/>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other asset backed securities</w:t>
            </w: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 fixed-maturity</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5"/>
              </w:rPr>
              <w:t>$ 93,944,813</w:t>
            </w:r>
          </w:p>
        </w:tc>
        <w:tc>
          <w:tcPr>
            <w:tcW w:w="2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1"/>
              </w:rPr>
              <w:t>(8,881,859)</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55,096,312</w:t>
            </w:r>
          </w:p>
        </w:tc>
        <w:tc>
          <w:tcPr>
            <w:tcW w:w="13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 (11,381,282)</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7"/>
              </w:rPr>
              <w:t>149,041,125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0"/>
              </w:rPr>
              <w:t>(20,263,141)</w:t>
            </w:r>
          </w:p>
        </w:tc>
        <w:tc>
          <w:tcPr>
            <w:tcW w:w="0" w:type="dxa"/>
            <w:vAlign w:val="bottom"/>
          </w:tcPr>
          <w:p>
            <w:pPr>
              <w:spacing w:after="0"/>
              <w:rPr>
                <w:sz w:val="1"/>
                <w:szCs w:val="1"/>
                <w:color w:val="auto"/>
              </w:rPr>
            </w:pPr>
          </w:p>
        </w:tc>
      </w:tr>
      <w:tr>
        <w:trPr>
          <w:trHeight w:val="210"/>
        </w:trPr>
        <w:tc>
          <w:tcPr>
            <w:tcW w:w="228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color w:val="auto"/>
              </w:rPr>
              <w:t>securities</w:t>
            </w:r>
          </w:p>
        </w:tc>
        <w:tc>
          <w:tcPr>
            <w:tcW w:w="9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were 152 securities at March 31, 2023 that accounted for the gross unrealized loss of our fixed-maturity securities available-for-sale, none of which were deemed to be credit losses by us. There were 155 securities at December 31, 2022 that accounted for the gross unrealized loss of our fixed-maturity securities available-for-sale, none of which were deemed to be credit losses by us.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source of cash flow for our holding company are dividends received from KICO, which are subject to statutory restrictions. For the three months ended March 31, 2023, KICO paid a dividend of $1,250,000 to us. As of March 31, 2023, KICO had a negative unassigned surplus and currently will not be able to pay any distributions to us without prior regulatory approval.</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December 31, 2022, and are due and payable within 90 days of borrowing. The maximum allowable advance as of March 31, 2023, based on the net admitted assets as of December 31, 2022, was approximately $13,059,000. Available collateral as of March 31, 2023 was approximately $12,199,000. Advances are limited to 85% of the amount of available collateral. There were no borrowings under this facility during the three months ended March 31, 2023.</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15, 2022, we issued $19,950,000 of our 2022 Notes pursuant to the Exchange Agreement. We are required to make a mandatory redemption payment with regard to the 2022 Notes on December 30, 2023 in an amount discussed in Note 7 – Debt of the condensed consolidated financial statements included in this Quarterly Report. We are also required to make semi-annual interest payments in arrears on June 30 and December 30 of each year, commencing on June 30, 2023. The maturity date of the 2022 Notes is December 30, 2024.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60" w:type="dxa"/>
            <w:vAlign w:val="bottom"/>
            <w:gridSpan w:val="2"/>
          </w:tcPr>
          <w:p>
            <w:pPr>
              <w:spacing w:after="0"/>
              <w:rPr>
                <w:sz w:val="20"/>
                <w:szCs w:val="20"/>
                <w:color w:val="auto"/>
              </w:rPr>
            </w:pPr>
            <w:r>
              <w:rPr>
                <w:rFonts w:ascii="Arial" w:cs="Arial" w:eastAsia="Arial" w:hAnsi="Arial"/>
                <w:sz w:val="18"/>
                <w:szCs w:val="18"/>
                <w:i w:val="1"/>
                <w:iCs w:val="1"/>
                <w:color w:val="auto"/>
              </w:rPr>
              <w:t>Three Months ended March 31,</w:t>
            </w:r>
          </w:p>
        </w:tc>
        <w:tc>
          <w:tcPr>
            <w:tcW w:w="20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Cash flows (used in) provided by:</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(3,366,805)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(17,388,078)</w:t>
            </w:r>
          </w:p>
        </w:tc>
        <w:tc>
          <w:tcPr>
            <w:tcW w:w="0" w:type="dxa"/>
            <w:vAlign w:val="bottom"/>
          </w:tcPr>
          <w:p>
            <w:pPr>
              <w:spacing w:after="0"/>
              <w:rPr>
                <w:sz w:val="1"/>
                <w:szCs w:val="1"/>
                <w:color w:val="auto"/>
              </w:rPr>
            </w:pPr>
          </w:p>
        </w:tc>
      </w:tr>
      <w:tr>
        <w:trPr>
          <w:trHeight w:val="216"/>
        </w:trPr>
        <w:tc>
          <w:tcPr>
            <w:tcW w:w="8660" w:type="dxa"/>
            <w:vAlign w:val="bottom"/>
            <w:gridSpan w:val="2"/>
          </w:tcPr>
          <w:p>
            <w:pPr>
              <w:ind w:left="22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2,189,590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(285,069)</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(280,260)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(783,565)</w:t>
            </w:r>
          </w:p>
        </w:tc>
        <w:tc>
          <w:tcPr>
            <w:tcW w:w="0" w:type="dxa"/>
            <w:vAlign w:val="bottom"/>
          </w:tcPr>
          <w:p>
            <w:pPr>
              <w:spacing w:after="0"/>
              <w:rPr>
                <w:sz w:val="1"/>
                <w:szCs w:val="1"/>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(1,457,475)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(18,456,712)</w:t>
            </w: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11,958,228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24,290,598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10,500,753</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5,833,886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8"/>
        <w:spacing w:after="0" w:line="293" w:lineRule="auto"/>
        <w:rPr>
          <w:sz w:val="20"/>
          <w:szCs w:val="20"/>
          <w:color w:val="auto"/>
        </w:rPr>
      </w:pPr>
      <w:r>
        <w:rPr>
          <w:rFonts w:ascii="Arial" w:cs="Arial" w:eastAsia="Arial" w:hAnsi="Arial"/>
          <w:sz w:val="16"/>
          <w:szCs w:val="16"/>
          <w:color w:val="auto"/>
        </w:rPr>
        <w:t>Net cash used in operating activities was $3,367,000 in Three Months 2023 as compared to $17,388,000 used in operating activities in Three Months 2022. The $14,021,000 decrease in cash flows used in operating activities in Three Months 2023 as compared to Three Months 2022 was primarily the result of a decrease in cash arising from net fluctuations in operating assets and liabilities, partially offset by net loss (adjusted for non-cash items) of $744,000. The decrease in cash used in operating activities is also attributable to the payment of $13,245,000 to reinsurers in Three Months 2022 pursuant to the inception of our quota share reinsurance treaty, effective December 31, 2021. The net fluctuations in assets and liabilities are related to operating activities of KICO as affected by growth or declines in its operations, payments on claims and other changes, which are described above.</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investing activities was $2,190,000 in Three Months 2023 compared to $285,000 used in investing activities in Three Months 2022 resulting in a $2,475,000 increase in net cash provided by investing activities. In Three Months 2023, we had net cash provided by our investment portfolio of $2,656,000, compared to $3,715,000 used in Three Months 2022. In addition, we decreased our acquisition of fixed assets by $1,099,000 in Three Months 2023 compared to Three Months 2022.</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financing activities was $280,000 in Three Months 2023 compared to $784,000 used in Three Months 2022. The $504,000 decrease in net cash used in financing activities was attributable to no dividends being paid to shareholders in Three Months 2023 compared to $424,000 being paid in Three Months 2022 and a $357,000 decrease in withholding taxes paid on the vesting of restricted stock awards. The decreases in cash used in financing activities were partially offset by $266,000 of principal payments on the equipment financing in connection with KICO’s sale-leaseback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December 31, 2021, we entered into a quota share reinsurance treaty for our personal lines business, which primarily consists of homeowners’ and dwelling fire policies,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entered into new excess of loss and catastrophe reinsurance treaties effective July 1, 2022. Effective January 1, 2022, we entered into an underlying excess of loss reinsurance treaty (“Underlying XOL Treaty”) covering the period from January 1, 2022 through January 1, 2023. The Underlying XOL Treaty provides 50% reinsurance coverage for losses of $400,000 in excess of $600,000. Losses from named storms are excluded from the Underlying XOL Treaty. Effective January 1, 2023, the Underlying XOL Treaty was renewed covering the period from January 1, 2023 through January 1, 2024. Material terms for our reinsurance treaties in effect for the treaty years shown below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200"/>
              <w:spacing w:after="0"/>
              <w:rPr>
                <w:sz w:val="20"/>
                <w:szCs w:val="20"/>
                <w:color w:val="auto"/>
              </w:rPr>
            </w:pPr>
            <w:r>
              <w:rPr>
                <w:rFonts w:ascii="Arial" w:cs="Arial" w:eastAsia="Arial" w:hAnsi="Arial"/>
                <w:sz w:val="18"/>
                <w:szCs w:val="18"/>
                <w:b w:val="1"/>
                <w:bCs w:val="1"/>
                <w:color w:val="auto"/>
              </w:rPr>
              <w:t>Treaty Period</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2023/2024 Treaty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2021/2023 Treaty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July 1,</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9"/>
              </w:rPr>
              <w:t>July 1,</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to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to</w:t>
            </w: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January 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January 1,</w:t>
            </w: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90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4"/>
          </w:tcPr>
          <w:p>
            <w:pPr>
              <w:spacing w:after="0"/>
              <w:rPr>
                <w:sz w:val="20"/>
                <w:szCs w:val="20"/>
                <w:color w:val="auto"/>
              </w:rPr>
            </w:pPr>
            <w:r>
              <w:rPr>
                <w:rFonts w:ascii="Arial" w:cs="Arial" w:eastAsia="Arial" w:hAnsi="Arial"/>
                <w:sz w:val="18"/>
                <w:szCs w:val="18"/>
                <w:color w:val="auto"/>
              </w:rPr>
              <w:t>Homeowners, dwelling fire and and canine legal liability</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Quota share treaty:</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Percent ceded (8)</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Risk retained on intial $1,000,000 of losses (6) (7) (8)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700,000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700,000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700,000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rPr>
              <w:t>Losses per occurrence subject to quota share reinsurance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coverage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420"/>
              <w:spacing w:after="0"/>
              <w:rPr>
                <w:sz w:val="20"/>
                <w:szCs w:val="20"/>
                <w:color w:val="auto"/>
              </w:rPr>
            </w:pPr>
            <w:r>
              <w:rPr>
                <w:rFonts w:ascii="Arial" w:cs="Arial" w:eastAsia="Arial" w:hAnsi="Arial"/>
                <w:sz w:val="18"/>
                <w:szCs w:val="18"/>
                <w:color w:val="auto"/>
              </w:rPr>
              <w:t>Expiration date</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January 1, 2024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January 1, 2024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January 1, 2023</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January 1, 2023</w:t>
            </w: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2"/>
              </w:rPr>
              <w:t>Excess of loss coverage and facultative facility coverage (1) (6)</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in excess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in excess of</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Total reinsurance coverage per occurrence (6) (7)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8,500,000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8,500,000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Expiration date</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June 30, 2023</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2022</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00" w:type="dxa"/>
            <w:vAlign w:val="bottom"/>
            <w:gridSpan w:val="4"/>
          </w:tcPr>
          <w:p>
            <w:pPr>
              <w:spacing w:after="0" w:line="176" w:lineRule="exact"/>
              <w:rPr>
                <w:sz w:val="20"/>
                <w:szCs w:val="20"/>
                <w:color w:val="auto"/>
              </w:rPr>
            </w:pPr>
            <w:r>
              <w:rPr>
                <w:rFonts w:ascii="Arial" w:cs="Arial" w:eastAsia="Arial" w:hAnsi="Arial"/>
                <w:sz w:val="18"/>
                <w:szCs w:val="18"/>
                <w:color w:val="auto"/>
              </w:rPr>
              <w:t>Catastrophe Reinsurance:</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Initial loss subject to personal lines quota share treaty (7)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Risk retained per catastrophe occurrence (8) (9)</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8,750,000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7,400,000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Catastrophe loss coverage in excess of quota share coverage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335,000,000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00" w:type="dxa"/>
            <w:vAlign w:val="bottom"/>
            <w:gridSpan w:val="4"/>
          </w:tcPr>
          <w:p>
            <w:pPr>
              <w:ind w:left="220"/>
              <w:spacing w:after="0" w:line="201" w:lineRule="exact"/>
              <w:rPr>
                <w:sz w:val="20"/>
                <w:szCs w:val="20"/>
                <w:color w:val="auto"/>
              </w:rPr>
            </w:pPr>
            <w:r>
              <w:rPr>
                <w:rFonts w:ascii="Arial" w:cs="Arial" w:eastAsia="Arial" w:hAnsi="Arial"/>
                <w:sz w:val="18"/>
                <w:szCs w:val="18"/>
                <w:color w:val="auto"/>
                <w:w w:val="99"/>
              </w:rPr>
              <w:t>Catastrophe stub coverage for the period from October 18,</w:t>
            </w:r>
          </w:p>
        </w:tc>
        <w:tc>
          <w:tcPr>
            <w:tcW w:w="160" w:type="dxa"/>
            <w:vAlign w:val="bottom"/>
          </w:tcPr>
          <w:p>
            <w:pPr>
              <w:spacing w:after="0"/>
              <w:rPr>
                <w:sz w:val="17"/>
                <w:szCs w:val="17"/>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4900" w:type="dxa"/>
            <w:vAlign w:val="bottom"/>
            <w:gridSpan w:val="4"/>
            <w:vMerge w:val="restart"/>
          </w:tcPr>
          <w:p>
            <w:pPr>
              <w:spacing w:after="0"/>
              <w:rPr>
                <w:sz w:val="20"/>
                <w:szCs w:val="20"/>
                <w:color w:val="auto"/>
              </w:rPr>
            </w:pPr>
            <w:r>
              <w:rPr>
                <w:rFonts w:ascii="Arial" w:cs="Arial" w:eastAsia="Arial" w:hAnsi="Arial"/>
                <w:sz w:val="18"/>
                <w:szCs w:val="18"/>
                <w:color w:val="auto"/>
              </w:rPr>
              <w:t>2021 through December 31, 2021 (5)</w:t>
            </w: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4"/>
          </w:tcPr>
          <w:p>
            <w:pPr>
              <w:ind w:left="220"/>
              <w:spacing w:after="0"/>
              <w:rPr>
                <w:sz w:val="20"/>
                <w:szCs w:val="20"/>
                <w:color w:val="auto"/>
              </w:rPr>
            </w:pPr>
            <w:r>
              <w:rPr>
                <w:rFonts w:ascii="Arial" w:cs="Arial" w:eastAsia="Arial" w:hAnsi="Arial"/>
                <w:sz w:val="18"/>
                <w:szCs w:val="18"/>
                <w:color w:val="auto"/>
              </w:rPr>
              <w:t>Reinstatement premium protection (3) (4)</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Yes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Yes</w:t>
            </w:r>
          </w:p>
        </w:tc>
        <w:tc>
          <w:tcPr>
            <w:tcW w:w="1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hanging="452"/>
        <w:spacing w:after="0" w:line="25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2023.</w:t>
      </w:r>
    </w:p>
    <w:p>
      <w:pPr>
        <w:spacing w:after="0" w:line="1"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460" w:hanging="452"/>
        <w:spacing w:after="0" w:line="25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period December 31, 2021 through June 30, 2022, reinstatement premium protection for $70,000,000 of catastrophe coverage in excess of $10,000,000.</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period July 1, 2022 through June 30, 2023, reinstatement premium protection for $9,800,000 of catastrophe coverage in excess of $10,000,000.</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9"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period January 1, 2022 through January 1, 2024, underlying excess of loss treaty provides 50% reinsurance coverage for losses of $400,000 in excess of $600,000. Reduces retention to $500,000 from $700,000 under the 2021/2023 Treaty and 2022/2023 Treaty. Excludes losses from named storms.</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Excess of loss and facultative facility, and catastrophe treaties will expire on June 30, 2023; reinsurance coverage in effect from July 1, 2023 through January 1, 2024 is only for Personal lines quota share (homeowners, dwelling fire and canine liability) and underlying excess of loss reinsurance.</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 For the 2023/2024 Treaty, 17.5% of the 30% total of losses ceded under this treaty are excluded from a named catastrophe event.</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Treaty Year</w:t>
            </w:r>
          </w:p>
        </w:tc>
      </w:tr>
      <w:tr>
        <w:trPr>
          <w:trHeight w:val="191"/>
        </w:trPr>
        <w:tc>
          <w:tcPr>
            <w:tcW w:w="11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July 1, 2022</w:t>
            </w: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14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to</w:t>
            </w:r>
          </w:p>
        </w:tc>
      </w:tr>
      <w:tr>
        <w:trPr>
          <w:trHeight w:val="234"/>
        </w:trPr>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2023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140" w:type="dxa"/>
            <w:vAlign w:val="bottom"/>
          </w:tcPr>
          <w:p>
            <w:pPr>
              <w:spacing w:after="0"/>
              <w:rPr>
                <w:sz w:val="20"/>
                <w:szCs w:val="20"/>
                <w:color w:val="auto"/>
              </w:rPr>
            </w:pPr>
          </w:p>
        </w:tc>
      </w:tr>
      <w:tr>
        <w:trPr>
          <w:trHeight w:val="385"/>
        </w:trPr>
        <w:tc>
          <w:tcPr>
            <w:tcW w:w="858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8580" w:type="dxa"/>
            <w:vAlign w:val="bottom"/>
            <w:gridSpan w:val="3"/>
          </w:tcPr>
          <w:p>
            <w:pPr>
              <w:ind w:left="220"/>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8580" w:type="dxa"/>
            <w:vAlign w:val="bottom"/>
            <w:gridSpan w:val="3"/>
          </w:tcPr>
          <w:p>
            <w:pPr>
              <w:ind w:left="4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85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580" w:type="dxa"/>
            <w:vAlign w:val="bottom"/>
            <w:gridSpan w:val="3"/>
          </w:tcPr>
          <w:p>
            <w:pPr>
              <w:ind w:left="620"/>
              <w:spacing w:after="0"/>
              <w:rPr>
                <w:sz w:val="20"/>
                <w:szCs w:val="20"/>
                <w:color w:val="auto"/>
              </w:rPr>
            </w:pPr>
            <w:r>
              <w:rPr>
                <w:rFonts w:ascii="Arial" w:cs="Arial" w:eastAsia="Arial" w:hAnsi="Arial"/>
                <w:sz w:val="18"/>
                <w:szCs w:val="18"/>
                <w:color w:val="auto"/>
              </w:rPr>
              <w:t>Percent ceded - excess of $1,000,000 dollars of coverage</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5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18"/>
                <w:szCs w:val="18"/>
                <w:color w:val="auto"/>
              </w:rPr>
            </w:pPr>
          </w:p>
        </w:tc>
      </w:tr>
      <w:tr>
        <w:trPr>
          <w:trHeight w:val="216"/>
        </w:trPr>
        <w:tc>
          <w:tcPr>
            <w:tcW w:w="8580" w:type="dxa"/>
            <w:vAlign w:val="bottom"/>
            <w:gridSpan w:val="3"/>
          </w:tcPr>
          <w:p>
            <w:pPr>
              <w:ind w:left="6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4,700,000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4,700,000</w:t>
            </w:r>
          </w:p>
        </w:tc>
        <w:tc>
          <w:tcPr>
            <w:tcW w:w="140" w:type="dxa"/>
            <w:vAlign w:val="bottom"/>
          </w:tcPr>
          <w:p>
            <w:pPr>
              <w:spacing w:after="0"/>
              <w:rPr>
                <w:sz w:val="18"/>
                <w:szCs w:val="18"/>
                <w:color w:val="auto"/>
              </w:rPr>
            </w:pPr>
          </w:p>
        </w:tc>
      </w:tr>
      <w:tr>
        <w:trPr>
          <w:trHeight w:val="216"/>
        </w:trPr>
        <w:tc>
          <w:tcPr>
            <w:tcW w:w="85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18"/>
                <w:szCs w:val="18"/>
                <w:color w:val="auto"/>
              </w:rPr>
            </w:pPr>
          </w:p>
        </w:tc>
      </w:tr>
      <w:tr>
        <w:trPr>
          <w:trHeight w:val="230"/>
        </w:trPr>
        <w:tc>
          <w:tcPr>
            <w:tcW w:w="8580" w:type="dxa"/>
            <w:vAlign w:val="bottom"/>
            <w:gridSpan w:val="3"/>
          </w:tcPr>
          <w:p>
            <w:pPr>
              <w:ind w:left="42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June 30, 2023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30, 2022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Lines (1)</w:t>
      </w:r>
    </w:p>
    <w:p>
      <w:pPr>
        <w:spacing w:after="0" w:line="22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Coverage on all commercial lines policies expired in September 2020; reinsurance coverage is based on treaties in effect on the date of loss.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71" w:lineRule="exact"/>
        <w:rPr>
          <w:sz w:val="20"/>
          <w:szCs w:val="20"/>
          <w:color w:val="auto"/>
        </w:rPr>
      </w:pPr>
    </w:p>
    <w:p>
      <w:pPr>
        <w:jc w:val="both"/>
        <w:ind w:firstLine="732"/>
        <w:spacing w:after="0" w:line="27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Three Months 2023 included continuing economic inflation, which resulted in a sustained increase in interest rates, a widening of credit spreads, lower public equity valuations, and significant financial market volatility. The higher interest rates and widening of credit spreads previously reduced the value of our fixed income securities, saw a reversal which had previously lowered our stockholders’ equity materially in prior quarters. For Three Months 2023, the continuing economic inflation impacted our loss and loss adjustment expenses as well; should these trends continue in the near-term, it would in all likelihood negatively impact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977"/>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757"/>
        <w:spacing w:after="0" w:line="289" w:lineRule="auto"/>
        <w:rPr>
          <w:sz w:val="20"/>
          <w:szCs w:val="20"/>
          <w:color w:val="auto"/>
        </w:rPr>
      </w:pPr>
      <w:r>
        <w:rPr>
          <w:rFonts w:ascii="Arial" w:cs="Arial" w:eastAsia="Arial" w:hAnsi="Arial"/>
          <w:sz w:val="16"/>
          <w:szCs w:val="16"/>
          <w:color w:val="auto"/>
        </w:rPr>
        <w:t>The COVID-19 pandemic caused significant financial market volatility, economic uncertainty, and interruptions to normal business activities. As of the date of this report, we expect the effect of the COVID-19 pandemic on claims currently under our coverages to be manageable, based on the information presently available. However, the effects of the COVID-19 pandemic, including the emergence of variant strains, continue to evolve and we cannot predict the extent to which our business, results of operations, financial condition, liquidity and capital position, the value of investments we hold in our investment portfolio, the premiums we charge, the demand for our products, our ability to collect premiums or any requirement to return premiums to our policyholders will ultimately be impacted. The impact of COVID-19 on our results for the three months ended March 31, 2023 may not be indicative of its impact on our future results. For additional information on the risks posed by COVID-19, see “The impact of pandemics and other public heath issues (like COVID-19) and related risks could materially affect our results of operations, financial position and/or liquidity” included in Part I, Item 1A— “Risk Factors” in our Annual Report on Form 10-K for the year ended December 31, 2022, filed with the SEC.</w:t>
      </w:r>
    </w:p>
    <w:p>
      <w:pPr>
        <w:spacing w:after="0" w:line="166" w:lineRule="exact"/>
        <w:rPr>
          <w:sz w:val="20"/>
          <w:szCs w:val="20"/>
          <w:color w:val="auto"/>
        </w:rPr>
      </w:pPr>
    </w:p>
    <w:p>
      <w:pPr>
        <w:jc w:val="both"/>
        <w:ind w:firstLine="846"/>
        <w:spacing w:after="0" w:line="253" w:lineRule="auto"/>
        <w:rPr>
          <w:sz w:val="20"/>
          <w:szCs w:val="20"/>
          <w:color w:val="auto"/>
        </w:rPr>
      </w:pPr>
      <w:r>
        <w:rPr>
          <w:rFonts w:ascii="Arial" w:cs="Arial" w:eastAsia="Arial" w:hAnsi="Arial"/>
          <w:sz w:val="18"/>
          <w:szCs w:val="18"/>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rapidly deteriorated. The decreased levels of economic activity negatively impacted premium volumes generated by new business. We began to experience this impact in March 2020 and it became more significant in the second and third quarters of 2020. While we are now seeing a reversal of this impact, it may resume in the future, but the degree of any new impact will depend on the extent and duration of any economic contraction and could be material. We have also made underwriting changes to emphasize profitability over growth and have culled out the type of risks that do not generate an acceptable level of return. This action has led, and may continue to lead, to a slowdown in premium growth, particularly in new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08"/>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March 31, 2023,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March 31,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Effectiveness of Controls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2" w:lineRule="exact"/>
        <w:rPr>
          <w:sz w:val="20"/>
          <w:szCs w:val="20"/>
          <w:color w:val="auto"/>
        </w:rPr>
      </w:pPr>
    </w:p>
    <w:p>
      <w:pPr>
        <w:jc w:val="both"/>
        <w:ind w:firstLine="8"/>
        <w:spacing w:after="0" w:line="295" w:lineRule="auto"/>
        <w:tabs>
          <w:tab w:leader="none" w:pos="2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1" w:lineRule="exact"/>
        <w:rPr>
          <w:sz w:val="20"/>
          <w:szCs w:val="20"/>
          <w:color w:val="auto"/>
        </w:rPr>
      </w:pPr>
    </w:p>
    <w:p>
      <w:pPr>
        <w:jc w:val="both"/>
        <w:ind w:firstLine="88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29" w:lineRule="exact"/>
        <w:rPr>
          <w:sz w:val="20"/>
          <w:szCs w:val="20"/>
          <w:color w:val="auto"/>
        </w:rPr>
      </w:pPr>
    </w:p>
    <w:p>
      <w:pPr>
        <w:jc w:val="both"/>
        <w:ind w:firstLine="608"/>
        <w:spacing w:after="0" w:line="301" w:lineRule="auto"/>
        <w:rPr>
          <w:sz w:val="20"/>
          <w:szCs w:val="20"/>
          <w:color w:val="auto"/>
        </w:rPr>
      </w:pPr>
      <w:r>
        <w:rPr>
          <w:rFonts w:ascii="Arial" w:cs="Arial" w:eastAsia="Arial" w:hAnsi="Arial"/>
          <w:sz w:val="16"/>
          <w:szCs w:val="16"/>
          <w:color w:val="auto"/>
        </w:rPr>
        <w:t>For a discussion of the Company’s potential risks and uncertainties, see Part I, Item 1A— “Risk Factors” and Part II, Item 7— “Management’s Discussion and Analysis of Financial Condition and Results of Operations” in the Company’s 2022 Annual Report filed with the SEC, and Part I, Item 2 —”Management’s Discussion and Analysis of Financial Condition and Results of Operations” herein, in each case as updated by the Company’s periodic filings with the SEC. There have been no material changes to the risk factors disclosed in Part I, Item 1A of the Company’s 2022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ind w:left="900" w:hanging="44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00" w:hanging="44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44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u w:val="single" w:color="auto"/>
          <w:color w:val="auto"/>
        </w:rPr>
        <w:t>Mine Safety Disclosures</w:t>
      </w:r>
      <w:r>
        <w:rPr>
          <w:rFonts w:ascii="Arial" w:cs="Arial" w:eastAsia="Arial" w:hAnsi="Arial"/>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3(a)</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Restated Certificate of Incorporation, as amended (incorporated by reference to Exhibit 3(a) to the Company’s Quarterly Report on Form</w:t>
              </w:r>
            </w:hyperlink>
          </w:p>
        </w:tc>
      </w:tr>
      <w:tr>
        <w:trPr>
          <w:trHeight w:val="216"/>
        </w:trPr>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20" w:type="dxa"/>
            <w:vAlign w:val="bottom"/>
            <w:gridSpan w:val="8"/>
            <w:shd w:val="clear" w:color="auto" w:fill="CCEEFF"/>
          </w:tcPr>
          <w:p>
            <w:pPr>
              <w:ind w:left="220"/>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10-Q for the period ended March 31, 2014 filed on May 15, 2014).</w:t>
              </w:r>
            </w:hyperlink>
          </w:p>
        </w:tc>
      </w:tr>
      <w:tr>
        <w:trPr>
          <w:trHeight w:val="216"/>
        </w:trPr>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gridSpan w:val="2"/>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76"/>
        </w:trPr>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line="176" w:lineRule="exact"/>
              <w:rPr>
                <w:rFonts w:ascii="Arial" w:cs="Arial" w:eastAsia="Arial" w:hAnsi="Arial"/>
                <w:sz w:val="18"/>
                <w:szCs w:val="18"/>
                <w:color w:val="0000EE"/>
              </w:rPr>
            </w:pPr>
            <w:hyperlink r:id="rId74">
              <w:r>
                <w:rPr>
                  <w:rFonts w:ascii="Arial" w:cs="Arial" w:eastAsia="Arial" w:hAnsi="Arial"/>
                  <w:sz w:val="18"/>
                  <w:szCs w:val="18"/>
                  <w:color w:val="0000EE"/>
                </w:rPr>
                <w:t>3(b)</w:t>
              </w:r>
            </w:hyperlink>
          </w:p>
        </w:tc>
        <w:tc>
          <w:tcPr>
            <w:tcW w:w="10220" w:type="dxa"/>
            <w:vAlign w:val="bottom"/>
            <w:gridSpan w:val="8"/>
            <w:shd w:val="clear" w:color="auto" w:fill="CCEEFF"/>
          </w:tcPr>
          <w:p>
            <w:pPr>
              <w:ind w:left="220"/>
              <w:spacing w:after="0" w:line="176" w:lineRule="exact"/>
              <w:rPr>
                <w:rFonts w:ascii="Arial" w:cs="Arial" w:eastAsia="Arial" w:hAnsi="Arial"/>
                <w:sz w:val="18"/>
                <w:szCs w:val="18"/>
                <w:color w:val="0000EE"/>
                <w:w w:val="95"/>
              </w:rPr>
            </w:pPr>
            <w:hyperlink r:id="rId74">
              <w:r>
                <w:rPr>
                  <w:rFonts w:ascii="Arial" w:cs="Arial" w:eastAsia="Arial" w:hAnsi="Arial"/>
                  <w:sz w:val="18"/>
                  <w:szCs w:val="18"/>
                  <w:color w:val="0000EE"/>
                  <w:w w:val="95"/>
                </w:rPr>
                <w:t>By-laws, as amended (incorporated by reference to Exhibit 3.1 to the Company’s Current Report on Form 8-K filed on November 9,</w:t>
              </w:r>
            </w:hyperlink>
          </w:p>
        </w:tc>
      </w:tr>
      <w:tr>
        <w:trPr>
          <w:trHeight w:val="222"/>
        </w:trPr>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6"/>
              </w:rPr>
            </w:pPr>
            <w:hyperlink r:id="rId74">
              <w:r>
                <w:rPr>
                  <w:rFonts w:ascii="Arial" w:cs="Arial" w:eastAsia="Arial" w:hAnsi="Arial"/>
                  <w:sz w:val="18"/>
                  <w:szCs w:val="18"/>
                  <w:color w:val="0000EE"/>
                  <w:w w:val="86"/>
                </w:rPr>
                <w:t>2009).</w:t>
              </w:r>
            </w:hyperlink>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2080" w:type="dxa"/>
            <w:vAlign w:val="bottom"/>
            <w:tcBorders>
              <w:top w:val="single" w:sz="8" w:color="0000EE"/>
              <w:bottom w:val="single" w:sz="8" w:color="CCEEFF"/>
            </w:tcBorders>
            <w:shd w:val="clear" w:color="auto" w:fill="CCEEFF"/>
          </w:tcPr>
          <w:p>
            <w:pPr>
              <w:spacing w:after="0"/>
              <w:rPr>
                <w:sz w:val="18"/>
                <w:szCs w:val="18"/>
                <w:color w:val="auto"/>
              </w:rPr>
            </w:pPr>
          </w:p>
        </w:tc>
        <w:tc>
          <w:tcPr>
            <w:tcW w:w="2000" w:type="dxa"/>
            <w:vAlign w:val="bottom"/>
            <w:tcBorders>
              <w:top w:val="single" w:sz="8" w:color="0000EE"/>
              <w:bottom w:val="single" w:sz="8" w:color="CCEEFF"/>
            </w:tcBorders>
            <w:shd w:val="clear" w:color="auto" w:fill="CCEEFF"/>
          </w:tcPr>
          <w:p>
            <w:pPr>
              <w:spacing w:after="0"/>
              <w:rPr>
                <w:sz w:val="18"/>
                <w:szCs w:val="18"/>
                <w:color w:val="auto"/>
              </w:rPr>
            </w:pPr>
          </w:p>
        </w:tc>
        <w:tc>
          <w:tcPr>
            <w:tcW w:w="50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gridSpan w:val="2"/>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w w:val="85"/>
              </w:rPr>
              <w:t>31(a)</w:t>
            </w:r>
          </w:p>
        </w:tc>
        <w:tc>
          <w:tcPr>
            <w:tcW w:w="10220" w:type="dxa"/>
            <w:vAlign w:val="bottom"/>
            <w:gridSpan w:val="8"/>
            <w:shd w:val="clear" w:color="auto" w:fill="CCEEFF"/>
          </w:tcPr>
          <w:p>
            <w:pPr>
              <w:ind w:left="220"/>
              <w:spacing w:after="0" w:line="176" w:lineRule="exact"/>
              <w:rPr>
                <w:sz w:val="20"/>
                <w:szCs w:val="20"/>
                <w:color w:val="auto"/>
              </w:rPr>
            </w:pPr>
            <w:r>
              <w:rPr>
                <w:rFonts w:ascii="Arial" w:cs="Arial" w:eastAsia="Arial" w:hAnsi="Arial"/>
                <w:sz w:val="18"/>
                <w:szCs w:val="18"/>
                <w:color w:val="0000EE"/>
                <w:w w:val="92"/>
              </w:rPr>
              <w:t>Rule 13a-14(a)/15d-14(a) Certification of Chief Executive Officer as adopted pursuant to Section 302 of the Sarbanes-Oxley Act of 2002</w:t>
            </w:r>
          </w:p>
        </w:tc>
      </w:tr>
      <w:tr>
        <w:trPr>
          <w:trHeight w:val="216"/>
        </w:trPr>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gridSpan w:val="2"/>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5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62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w w:val="90"/>
              </w:rPr>
              <w:t>31(b)</w:t>
            </w:r>
          </w:p>
        </w:tc>
        <w:tc>
          <w:tcPr>
            <w:tcW w:w="10220" w:type="dxa"/>
            <w:vAlign w:val="bottom"/>
            <w:gridSpan w:val="8"/>
            <w:shd w:val="clear" w:color="auto" w:fill="CCEEFF"/>
          </w:tcPr>
          <w:p>
            <w:pPr>
              <w:ind w:left="220"/>
              <w:spacing w:after="0" w:line="176" w:lineRule="exact"/>
              <w:rPr>
                <w:sz w:val="20"/>
                <w:szCs w:val="20"/>
                <w:color w:val="auto"/>
              </w:rPr>
            </w:pPr>
            <w:r>
              <w:rPr>
                <w:rFonts w:ascii="Arial" w:cs="Arial" w:eastAsia="Arial" w:hAnsi="Arial"/>
                <w:sz w:val="18"/>
                <w:szCs w:val="18"/>
                <w:color w:val="0000EE"/>
                <w:w w:val="92"/>
              </w:rPr>
              <w:t>Rule 13a-14(a)/15d-14(a) Certification of Chief Financial Officer as adopted pursuant to Section 302 of the Sarbanes-Oxley Act of 2002</w:t>
            </w:r>
          </w:p>
        </w:tc>
      </w:tr>
      <w:tr>
        <w:trPr>
          <w:trHeight w:val="216"/>
        </w:trPr>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gridSpan w:val="2"/>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50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75"/>
        </w:trPr>
        <w:tc>
          <w:tcPr>
            <w:tcW w:w="1020" w:type="dxa"/>
            <w:vAlign w:val="bottom"/>
            <w:gridSpan w:val="5"/>
            <w:shd w:val="clear" w:color="auto" w:fill="CCEEFF"/>
          </w:tcPr>
          <w:p>
            <w:pPr>
              <w:jc w:val="right"/>
              <w:spacing w:after="0" w:line="176" w:lineRule="exact"/>
              <w:rPr>
                <w:sz w:val="20"/>
                <w:szCs w:val="20"/>
                <w:color w:val="auto"/>
              </w:rPr>
            </w:pPr>
            <w:r>
              <w:rPr>
                <w:rFonts w:ascii="Arial" w:cs="Arial" w:eastAsia="Arial" w:hAnsi="Arial"/>
                <w:sz w:val="18"/>
                <w:szCs w:val="18"/>
                <w:color w:val="0000EE"/>
              </w:rPr>
              <w:t>32+</w:t>
            </w:r>
          </w:p>
        </w:tc>
        <w:tc>
          <w:tcPr>
            <w:tcW w:w="10220" w:type="dxa"/>
            <w:vAlign w:val="bottom"/>
            <w:gridSpan w:val="8"/>
            <w:shd w:val="clear" w:color="auto" w:fill="CCEEFF"/>
          </w:tcPr>
          <w:p>
            <w:pPr>
              <w:ind w:left="220"/>
              <w:spacing w:after="0" w:line="176" w:lineRule="exact"/>
              <w:rPr>
                <w:sz w:val="20"/>
                <w:szCs w:val="20"/>
                <w:color w:val="auto"/>
              </w:rPr>
            </w:pPr>
            <w:r>
              <w:rPr>
                <w:rFonts w:ascii="Arial" w:cs="Arial" w:eastAsia="Arial" w:hAnsi="Arial"/>
                <w:sz w:val="18"/>
                <w:szCs w:val="18"/>
                <w:color w:val="0000EE"/>
                <w:w w:val="92"/>
              </w:rPr>
              <w:t>Certification of Chief Executive Officer and Chief Financial Officer Pursuant to 18 U.S.C. Section 1350, as Adopted Pursuant to Section</w:t>
            </w:r>
          </w:p>
        </w:tc>
      </w:tr>
      <w:tr>
        <w:trPr>
          <w:trHeight w:val="217"/>
        </w:trPr>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0000EE"/>
            </w:tcBorders>
            <w:gridSpan w:val="7"/>
            <w:shd w:val="clear" w:color="auto" w:fill="CCEEFF"/>
          </w:tcPr>
          <w:p>
            <w:pPr>
              <w:spacing w:after="0" w:line="196" w:lineRule="exact"/>
              <w:rPr>
                <w:sz w:val="20"/>
                <w:szCs w:val="20"/>
                <w:color w:val="auto"/>
              </w:rPr>
            </w:pPr>
            <w:r>
              <w:rPr>
                <w:rFonts w:ascii="Arial" w:cs="Arial" w:eastAsia="Arial" w:hAnsi="Arial"/>
                <w:sz w:val="18"/>
                <w:szCs w:val="18"/>
                <w:color w:val="0000EE"/>
              </w:rPr>
              <w:t>906 of the Sarbanes-Oxley Act of 2002</w:t>
            </w:r>
          </w:p>
        </w:tc>
      </w:tr>
      <w:tr>
        <w:trPr>
          <w:trHeight w:val="216"/>
        </w:trPr>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gridSpan w:val="2"/>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101.INS</w:t>
            </w:r>
          </w:p>
        </w:tc>
        <w:tc>
          <w:tcPr>
            <w:tcW w:w="10220" w:type="dxa"/>
            <w:vAlign w:val="bottom"/>
            <w:gridSpan w:val="8"/>
            <w:shd w:val="clear" w:color="auto" w:fill="CCEEFF"/>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101.SCH</w:t>
            </w:r>
          </w:p>
        </w:tc>
        <w:tc>
          <w:tcPr>
            <w:tcW w:w="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8"/>
              </w:rPr>
              <w:t>101.SCH</w:t>
            </w:r>
          </w:p>
        </w:tc>
        <w:tc>
          <w:tcPr>
            <w:tcW w:w="92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101.CAL</w:t>
            </w:r>
          </w:p>
        </w:tc>
        <w:tc>
          <w:tcPr>
            <w:tcW w:w="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101.CAL</w:t>
            </w:r>
          </w:p>
        </w:tc>
        <w:tc>
          <w:tcPr>
            <w:tcW w:w="926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101.DEF</w:t>
            </w:r>
          </w:p>
        </w:tc>
        <w:tc>
          <w:tcPr>
            <w:tcW w:w="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101.DEF</w:t>
            </w:r>
          </w:p>
        </w:tc>
        <w:tc>
          <w:tcPr>
            <w:tcW w:w="92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101.LAB</w:t>
            </w:r>
          </w:p>
        </w:tc>
        <w:tc>
          <w:tcPr>
            <w:tcW w:w="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101.LAB</w:t>
            </w:r>
          </w:p>
        </w:tc>
        <w:tc>
          <w:tcPr>
            <w:tcW w:w="9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101.PRE</w:t>
            </w:r>
          </w:p>
        </w:tc>
        <w:tc>
          <w:tcPr>
            <w:tcW w:w="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101.PRE</w:t>
            </w:r>
          </w:p>
        </w:tc>
        <w:tc>
          <w:tcPr>
            <w:tcW w:w="926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jc w:val="both"/>
        <w:ind w:left="1240" w:hanging="323"/>
        <w:spacing w:after="0" w:line="263"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40" w:type="dxa"/>
            <w:vAlign w:val="bottom"/>
            <w:gridSpan w:val="2"/>
          </w:tcPr>
          <w:p>
            <w:pPr>
              <w:ind w:left="2080"/>
              <w:spacing w:after="0"/>
              <w:rPr>
                <w:sz w:val="20"/>
                <w:szCs w:val="20"/>
                <w:color w:val="auto"/>
              </w:rPr>
            </w:pPr>
            <w:r>
              <w:rPr>
                <w:rFonts w:ascii="Arial" w:cs="Arial" w:eastAsia="Arial" w:hAnsi="Arial"/>
                <w:sz w:val="18"/>
                <w:szCs w:val="18"/>
                <w:b w:val="1"/>
                <w:bCs w:val="1"/>
                <w:color w:val="auto"/>
              </w:rPr>
              <w:t>KINGSTONE COMPANIES, INC.</w:t>
            </w:r>
          </w:p>
        </w:tc>
        <w:tc>
          <w:tcPr>
            <w:tcW w:w="136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15, 2023</w:t>
            </w:r>
          </w:p>
        </w:tc>
        <w:tc>
          <w:tcPr>
            <w:tcW w:w="6340" w:type="dxa"/>
            <w:vAlign w:val="bottom"/>
            <w:gridSpan w:val="2"/>
          </w:tcPr>
          <w:p>
            <w:pPr>
              <w:ind w:left="2080"/>
              <w:spacing w:after="0"/>
              <w:rPr>
                <w:sz w:val="20"/>
                <w:szCs w:val="20"/>
                <w:color w:val="auto"/>
              </w:rPr>
            </w:pPr>
            <w:r>
              <w:rPr>
                <w:rFonts w:ascii="Arial" w:cs="Arial" w:eastAsia="Arial" w:hAnsi="Arial"/>
                <w:sz w:val="18"/>
                <w:szCs w:val="18"/>
                <w:color w:val="auto"/>
              </w:rPr>
              <w:t>By:  /s/ Barry B. Goldstein</w:t>
            </w:r>
          </w:p>
        </w:tc>
        <w:tc>
          <w:tcPr>
            <w:tcW w:w="136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B. Goldstein</w:t>
            </w:r>
          </w:p>
        </w:tc>
        <w:tc>
          <w:tcPr>
            <w:tcW w:w="136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15, 2023</w:t>
            </w:r>
          </w:p>
        </w:tc>
        <w:tc>
          <w:tcPr>
            <w:tcW w:w="6340" w:type="dxa"/>
            <w:vAlign w:val="bottom"/>
            <w:gridSpan w:val="2"/>
          </w:tcPr>
          <w:p>
            <w:pPr>
              <w:ind w:left="2080"/>
              <w:spacing w:after="0"/>
              <w:rPr>
                <w:sz w:val="20"/>
                <w:szCs w:val="20"/>
                <w:color w:val="auto"/>
              </w:rPr>
            </w:pPr>
            <w:r>
              <w:rPr>
                <w:rFonts w:ascii="Arial" w:cs="Arial" w:eastAsia="Arial" w:hAnsi="Arial"/>
                <w:sz w:val="18"/>
                <w:szCs w:val="18"/>
                <w:color w:val="auto"/>
              </w:rPr>
              <w:t>By:  /s/ Jennifer Gravelle</w:t>
            </w:r>
          </w:p>
        </w:tc>
        <w:tc>
          <w:tcPr>
            <w:tcW w:w="136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Jennifer Gravelle</w:t>
            </w:r>
          </w:p>
        </w:tc>
        <w:tc>
          <w:tcPr>
            <w:tcW w:w="136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r>
      <w:tr>
        <w:trPr>
          <w:trHeight w:val="648"/>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w:t>
            </w:r>
          </w:p>
        </w:tc>
        <w:tc>
          <w:tcPr>
            <w:tcW w:w="3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74" w:name="page75"/>
    <w:bookmarkEnd w:id="74"/>
    <w:p>
      <w:pPr>
        <w:ind w:left="10000"/>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1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11"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900" w:hanging="443"/>
        <w:spacing w:after="0" w:line="263"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00" w:hanging="443"/>
        <w:spacing w:after="0" w:line="263"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900" w:hanging="443"/>
        <w:spacing w:after="0" w:line="308" w:lineRule="auto"/>
        <w:tabs>
          <w:tab w:leader="none" w:pos="9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jc w:val="both"/>
        <w:ind w:left="900" w:hanging="443"/>
        <w:spacing w:after="0" w:line="263"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ind w:left="900" w:hanging="443"/>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900" w:hanging="443"/>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2023</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4942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75" w:name="page76"/>
    <w:bookmarkEnd w:id="75"/>
    <w:p>
      <w:pPr>
        <w:ind w:left="10000"/>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Jennifer Gravelle, certify that:</w:t>
      </w:r>
    </w:p>
    <w:p>
      <w:pPr>
        <w:spacing w:after="0" w:line="22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3"/>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3"/>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3"/>
        <w:spacing w:after="0" w:line="308" w:lineRule="auto"/>
        <w:tabs>
          <w:tab w:leader="none" w:pos="9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3"/>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3"/>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3"/>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2023</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Jennifer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4942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Jennifer Gravelle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76" w:name="page77"/>
    <w:bookmarkEnd w:id="76"/>
    <w:p>
      <w:pPr>
        <w:ind w:left="1024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2023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Dated: May 15, 2023</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r>
      <w:tr>
        <w:trPr>
          <w:trHeight w:val="195"/>
        </w:trPr>
        <w:tc>
          <w:tcPr>
            <w:tcW w:w="59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59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96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Gravelle</w:t>
            </w:r>
          </w:p>
        </w:tc>
      </w:tr>
      <w:tr>
        <w:trPr>
          <w:trHeight w:val="195"/>
        </w:trPr>
        <w:tc>
          <w:tcPr>
            <w:tcW w:w="59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Jennifer Gravelle</w:t>
            </w:r>
          </w:p>
        </w:tc>
      </w:tr>
      <w:tr>
        <w:trPr>
          <w:trHeight w:val="230"/>
        </w:trPr>
        <w:tc>
          <w:tcPr>
            <w:tcW w:w="59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5"/>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upperLetter"/>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Roman"/>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3" Type="http://schemas.openxmlformats.org/officeDocument/2006/relationships/hyperlink" Target="http://www.sec.gov/Archives/edgar/data/33992/000135448814002619/kins_ex3a.htm" TargetMode="External"/><Relationship Id="rId74"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2023-05-15T14:19:39Z</dcterms:created>
  <dcterms:modified xsi:type="dcterms:W3CDTF">2023-05-15T14:19:39Z</dcterms:modified>
</cp:coreProperties>
</file>